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BB" w:rsidRPr="00586505" w:rsidRDefault="007242BB" w:rsidP="00F916CA">
      <w:pPr>
        <w:tabs>
          <w:tab w:val="left" w:pos="4080"/>
        </w:tabs>
        <w:spacing w:after="60" w:line="240" w:lineRule="auto"/>
        <w:jc w:val="center"/>
        <w:rPr>
          <w:b/>
          <w:sz w:val="32"/>
          <w:szCs w:val="32"/>
          <w:lang w:val="en-GB"/>
        </w:rPr>
      </w:pPr>
      <w:r w:rsidRPr="00586505">
        <w:rPr>
          <w:noProof/>
        </w:rPr>
        <w:drawing>
          <wp:anchor distT="0" distB="0" distL="114300" distR="114300" simplePos="0" relativeHeight="251676672" behindDoc="1" locked="0" layoutInCell="1" allowOverlap="1" wp14:anchorId="72015A26" wp14:editId="38EC5938">
            <wp:simplePos x="0" y="0"/>
            <wp:positionH relativeFrom="column">
              <wp:posOffset>5095875</wp:posOffset>
            </wp:positionH>
            <wp:positionV relativeFrom="paragraph">
              <wp:posOffset>-371475</wp:posOffset>
            </wp:positionV>
            <wp:extent cx="533400" cy="1022985"/>
            <wp:effectExtent l="0" t="0" r="0" b="5715"/>
            <wp:wrapNone/>
            <wp:docPr id="24" name="Image 3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und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022985"/>
                    </a:xfrm>
                    <a:prstGeom prst="rect">
                      <a:avLst/>
                    </a:prstGeom>
                    <a:noFill/>
                  </pic:spPr>
                </pic:pic>
              </a:graphicData>
            </a:graphic>
            <wp14:sizeRelH relativeFrom="page">
              <wp14:pctWidth>0</wp14:pctWidth>
            </wp14:sizeRelH>
            <wp14:sizeRelV relativeFrom="page">
              <wp14:pctHeight>0</wp14:pctHeight>
            </wp14:sizeRelV>
          </wp:anchor>
        </w:drawing>
      </w:r>
      <w:r w:rsidRPr="00586505">
        <w:rPr>
          <w:b/>
          <w:sz w:val="32"/>
          <w:szCs w:val="32"/>
          <w:lang w:val="en-GB"/>
        </w:rPr>
        <w:t>United Nations Development Programme</w:t>
      </w:r>
    </w:p>
    <w:p w:rsidR="007242BB" w:rsidRPr="00586505" w:rsidRDefault="007242BB" w:rsidP="00F916CA">
      <w:pPr>
        <w:tabs>
          <w:tab w:val="left" w:pos="4080"/>
        </w:tabs>
        <w:spacing w:after="60" w:line="240" w:lineRule="auto"/>
        <w:jc w:val="center"/>
        <w:rPr>
          <w:b/>
          <w:sz w:val="32"/>
          <w:szCs w:val="32"/>
          <w:lang w:val="en-GB"/>
        </w:rPr>
      </w:pPr>
      <w:r w:rsidRPr="00586505">
        <w:rPr>
          <w:b/>
          <w:sz w:val="32"/>
          <w:szCs w:val="32"/>
          <w:lang w:val="en-GB"/>
        </w:rPr>
        <w:t>Project Document</w:t>
      </w:r>
    </w:p>
    <w:p w:rsidR="008C3ABE" w:rsidRPr="00586505" w:rsidRDefault="008C3ABE" w:rsidP="00F916CA">
      <w:pPr>
        <w:tabs>
          <w:tab w:val="left" w:pos="4080"/>
        </w:tabs>
        <w:spacing w:after="60" w:line="240" w:lineRule="auto"/>
        <w:jc w:val="both"/>
        <w:rPr>
          <w:rFonts w:eastAsia="Times New Roman" w:cs="Times New Roman"/>
          <w:color w:val="000000"/>
          <w:sz w:val="24"/>
          <w:szCs w:val="24"/>
          <w:lang w:val="en-G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4820"/>
      </w:tblGrid>
      <w:tr w:rsidR="008C3ABE" w:rsidRPr="00586505" w:rsidTr="00184F0A">
        <w:trPr>
          <w:trHeight w:val="244"/>
        </w:trPr>
        <w:tc>
          <w:tcPr>
            <w:tcW w:w="2977" w:type="dxa"/>
            <w:vAlign w:val="center"/>
          </w:tcPr>
          <w:p w:rsidR="008C3ABE" w:rsidRPr="00586505" w:rsidRDefault="008C3ABE" w:rsidP="00F916CA">
            <w:pPr>
              <w:tabs>
                <w:tab w:val="left" w:pos="4680"/>
              </w:tabs>
              <w:spacing w:after="60" w:line="240" w:lineRule="auto"/>
              <w:jc w:val="both"/>
              <w:rPr>
                <w:b/>
                <w:bCs/>
                <w:szCs w:val="24"/>
                <w:lang w:val="en-GB"/>
              </w:rPr>
            </w:pPr>
            <w:r w:rsidRPr="00586505">
              <w:rPr>
                <w:b/>
                <w:bCs/>
                <w:szCs w:val="24"/>
                <w:lang w:val="en-GB"/>
              </w:rPr>
              <w:t xml:space="preserve">Project Title: </w:t>
            </w:r>
          </w:p>
        </w:tc>
        <w:tc>
          <w:tcPr>
            <w:tcW w:w="6663" w:type="dxa"/>
            <w:gridSpan w:val="2"/>
            <w:vAlign w:val="center"/>
          </w:tcPr>
          <w:p w:rsidR="008C3ABE" w:rsidRPr="00586505" w:rsidRDefault="008C3ABE" w:rsidP="00B5043D">
            <w:pPr>
              <w:tabs>
                <w:tab w:val="left" w:pos="4680"/>
              </w:tabs>
              <w:spacing w:after="60" w:line="240" w:lineRule="auto"/>
              <w:jc w:val="both"/>
              <w:rPr>
                <w:sz w:val="20"/>
                <w:szCs w:val="20"/>
              </w:rPr>
            </w:pPr>
            <w:r w:rsidRPr="00586505">
              <w:rPr>
                <w:rFonts w:eastAsia="Times New Roman"/>
              </w:rPr>
              <w:t>SECURITY SECTOR GOVERNANCE</w:t>
            </w:r>
            <w:r w:rsidR="00685DEE">
              <w:rPr>
                <w:rFonts w:eastAsia="Times New Roman"/>
              </w:rPr>
              <w:t xml:space="preserve"> (PSSG)</w:t>
            </w:r>
            <w:r w:rsidRPr="00586505">
              <w:rPr>
                <w:rFonts w:eastAsia="Times New Roman"/>
              </w:rPr>
              <w:t xml:space="preserve"> PROJECT (PHASE I)</w:t>
            </w:r>
          </w:p>
        </w:tc>
      </w:tr>
      <w:tr w:rsidR="008C3ABE" w:rsidRPr="00586505" w:rsidTr="00184F0A">
        <w:trPr>
          <w:trHeight w:val="328"/>
        </w:trPr>
        <w:tc>
          <w:tcPr>
            <w:tcW w:w="2977" w:type="dxa"/>
            <w:vAlign w:val="center"/>
          </w:tcPr>
          <w:p w:rsidR="008C3ABE" w:rsidRPr="00586505" w:rsidRDefault="008C3ABE" w:rsidP="00F916CA">
            <w:pPr>
              <w:tabs>
                <w:tab w:val="left" w:pos="4680"/>
              </w:tabs>
              <w:spacing w:after="60" w:line="240" w:lineRule="auto"/>
              <w:rPr>
                <w:b/>
                <w:bCs/>
                <w:szCs w:val="24"/>
                <w:lang w:val="en-GB"/>
              </w:rPr>
            </w:pPr>
            <w:r w:rsidRPr="00586505">
              <w:rPr>
                <w:b/>
                <w:bCs/>
                <w:szCs w:val="24"/>
                <w:lang w:val="en-GB"/>
              </w:rPr>
              <w:t xml:space="preserve">Expected </w:t>
            </w:r>
            <w:r w:rsidR="007242BB" w:rsidRPr="00586505">
              <w:rPr>
                <w:b/>
                <w:bCs/>
                <w:szCs w:val="24"/>
                <w:lang w:val="en-GB"/>
              </w:rPr>
              <w:t xml:space="preserve">Regional </w:t>
            </w:r>
            <w:r w:rsidRPr="00586505">
              <w:rPr>
                <w:b/>
                <w:bCs/>
                <w:szCs w:val="24"/>
                <w:lang w:val="en-GB"/>
              </w:rPr>
              <w:t>Outcome(s):</w:t>
            </w:r>
            <w:r w:rsidRPr="00586505">
              <w:rPr>
                <w:b/>
                <w:bCs/>
                <w:szCs w:val="24"/>
                <w:lang w:val="en-GB"/>
              </w:rPr>
              <w:tab/>
            </w:r>
          </w:p>
        </w:tc>
        <w:tc>
          <w:tcPr>
            <w:tcW w:w="6663" w:type="dxa"/>
            <w:gridSpan w:val="2"/>
            <w:vAlign w:val="center"/>
          </w:tcPr>
          <w:p w:rsidR="00B5043D" w:rsidRPr="00586505" w:rsidRDefault="003117D2" w:rsidP="00F916CA">
            <w:pPr>
              <w:tabs>
                <w:tab w:val="left" w:pos="4080"/>
              </w:tabs>
              <w:spacing w:after="60" w:line="240" w:lineRule="auto"/>
              <w:jc w:val="both"/>
              <w:rPr>
                <w:rFonts w:eastAsia="Times New Roman" w:cs="Times New Roman"/>
                <w:color w:val="000000"/>
                <w:sz w:val="20"/>
                <w:szCs w:val="20"/>
                <w:lang w:val="en-GB"/>
              </w:rPr>
            </w:pPr>
            <w:r w:rsidRPr="00D5008A">
              <w:rPr>
                <w:sz w:val="20"/>
                <w:szCs w:val="20"/>
              </w:rPr>
              <w:t>Security Sector Governance in the Pacific, and in select Pacific Island Countries, is transparent, democratic, inclusive, and responsive to the</w:t>
            </w:r>
            <w:r w:rsidR="00D5008A">
              <w:rPr>
                <w:sz w:val="20"/>
                <w:szCs w:val="20"/>
              </w:rPr>
              <w:t xml:space="preserve"> needs of ordinary citizens and</w:t>
            </w:r>
            <w:r w:rsidRPr="00D5008A">
              <w:rPr>
                <w:sz w:val="20"/>
                <w:szCs w:val="20"/>
              </w:rPr>
              <w:t xml:space="preserve"> is aligned with the guiding principles to enhance security sector governance approved by</w:t>
            </w:r>
            <w:r w:rsidR="00D5008A">
              <w:rPr>
                <w:sz w:val="20"/>
                <w:szCs w:val="20"/>
              </w:rPr>
              <w:t xml:space="preserve"> Pacific leaders in August 2014</w:t>
            </w:r>
            <w:r w:rsidR="002E516C">
              <w:rPr>
                <w:sz w:val="20"/>
                <w:szCs w:val="20"/>
              </w:rPr>
              <w:t>,</w:t>
            </w:r>
            <w:r w:rsidR="00D5008A">
              <w:rPr>
                <w:sz w:val="20"/>
                <w:szCs w:val="20"/>
              </w:rPr>
              <w:t xml:space="preserve"> to promote peaceful and inclusive societies for sustainable development. </w:t>
            </w:r>
          </w:p>
        </w:tc>
      </w:tr>
      <w:tr w:rsidR="008C3ABE" w:rsidRPr="00586505" w:rsidTr="00184F0A">
        <w:tc>
          <w:tcPr>
            <w:tcW w:w="2977" w:type="dxa"/>
            <w:vAlign w:val="center"/>
          </w:tcPr>
          <w:p w:rsidR="008C3ABE" w:rsidRPr="00586505" w:rsidRDefault="008C3ABE" w:rsidP="00F916CA">
            <w:pPr>
              <w:tabs>
                <w:tab w:val="left" w:pos="4680"/>
              </w:tabs>
              <w:spacing w:after="60" w:line="240" w:lineRule="auto"/>
              <w:jc w:val="both"/>
              <w:rPr>
                <w:b/>
                <w:bCs/>
                <w:szCs w:val="24"/>
                <w:lang w:val="en-GB"/>
              </w:rPr>
            </w:pPr>
            <w:r w:rsidRPr="00586505">
              <w:rPr>
                <w:b/>
                <w:bCs/>
                <w:szCs w:val="24"/>
                <w:lang w:val="en-GB"/>
              </w:rPr>
              <w:t>Expected Output(s):</w:t>
            </w:r>
            <w:r w:rsidRPr="00586505">
              <w:rPr>
                <w:b/>
                <w:bCs/>
                <w:szCs w:val="24"/>
                <w:lang w:val="en-GB"/>
              </w:rPr>
              <w:tab/>
            </w:r>
          </w:p>
        </w:tc>
        <w:tc>
          <w:tcPr>
            <w:tcW w:w="6663" w:type="dxa"/>
            <w:gridSpan w:val="2"/>
            <w:vAlign w:val="center"/>
          </w:tcPr>
          <w:p w:rsidR="009C5DCB" w:rsidRDefault="00BB12B0" w:rsidP="00F916CA">
            <w:pPr>
              <w:autoSpaceDE w:val="0"/>
              <w:autoSpaceDN w:val="0"/>
              <w:adjustRightInd w:val="0"/>
              <w:spacing w:line="240" w:lineRule="auto"/>
              <w:rPr>
                <w:sz w:val="20"/>
                <w:szCs w:val="20"/>
              </w:rPr>
            </w:pPr>
            <w:r w:rsidRPr="0098639D">
              <w:rPr>
                <w:rFonts w:cs="Tahoma"/>
                <w:sz w:val="20"/>
                <w:szCs w:val="20"/>
                <w:lang w:val="en-GB"/>
              </w:rPr>
              <w:t xml:space="preserve">1. </w:t>
            </w:r>
            <w:r w:rsidR="00494C39" w:rsidRPr="004E000A">
              <w:rPr>
                <w:rFonts w:cs="Times New Roman"/>
                <w:sz w:val="20"/>
                <w:szCs w:val="20"/>
              </w:rPr>
              <w:t>Security Sector Governance</w:t>
            </w:r>
            <w:r w:rsidR="005324AC" w:rsidRPr="004E000A">
              <w:rPr>
                <w:rFonts w:cs="Times New Roman"/>
                <w:sz w:val="20"/>
                <w:szCs w:val="20"/>
              </w:rPr>
              <w:t xml:space="preserve"> enhanced </w:t>
            </w:r>
            <w:r w:rsidR="00494C39" w:rsidRPr="004E000A">
              <w:rPr>
                <w:rFonts w:cs="Times New Roman"/>
                <w:sz w:val="20"/>
                <w:szCs w:val="20"/>
              </w:rPr>
              <w:t>in the Pacific</w:t>
            </w:r>
            <w:r w:rsidR="008F4F01" w:rsidRPr="004E000A">
              <w:rPr>
                <w:rFonts w:cs="Times New Roman"/>
                <w:sz w:val="20"/>
                <w:szCs w:val="20"/>
              </w:rPr>
              <w:t xml:space="preserve"> </w:t>
            </w:r>
            <w:r w:rsidR="005324AC" w:rsidRPr="004E000A">
              <w:rPr>
                <w:rFonts w:cs="Times New Roman"/>
                <w:sz w:val="20"/>
                <w:szCs w:val="20"/>
              </w:rPr>
              <w:t>through support to regional dialogues</w:t>
            </w:r>
            <w:r w:rsidR="00287321">
              <w:rPr>
                <w:rFonts w:cs="Times New Roman"/>
                <w:sz w:val="20"/>
                <w:szCs w:val="20"/>
              </w:rPr>
              <w:t xml:space="preserve"> and knowledge sharing</w:t>
            </w:r>
            <w:r w:rsidR="005324AC" w:rsidRPr="004E000A">
              <w:rPr>
                <w:rFonts w:cs="Times New Roman"/>
                <w:sz w:val="20"/>
                <w:szCs w:val="20"/>
              </w:rPr>
              <w:t xml:space="preserve"> fostering South-South</w:t>
            </w:r>
            <w:r w:rsidR="005646DC" w:rsidRPr="004E000A">
              <w:rPr>
                <w:rFonts w:cs="Times New Roman"/>
                <w:sz w:val="20"/>
                <w:szCs w:val="20"/>
              </w:rPr>
              <w:t xml:space="preserve"> and Triangular Cooperation and </w:t>
            </w:r>
            <w:r w:rsidR="005324AC" w:rsidRPr="004E000A">
              <w:rPr>
                <w:rFonts w:cs="Times New Roman"/>
                <w:sz w:val="20"/>
                <w:szCs w:val="20"/>
              </w:rPr>
              <w:t xml:space="preserve">support to </w:t>
            </w:r>
            <w:r w:rsidR="00494C39" w:rsidRPr="004E000A">
              <w:rPr>
                <w:rFonts w:cs="Times New Roman"/>
                <w:sz w:val="20"/>
                <w:szCs w:val="20"/>
              </w:rPr>
              <w:t xml:space="preserve">select </w:t>
            </w:r>
            <w:r w:rsidR="00494C39" w:rsidRPr="004E000A">
              <w:rPr>
                <w:sz w:val="20"/>
                <w:szCs w:val="20"/>
              </w:rPr>
              <w:t>Pacific Island Countries</w:t>
            </w:r>
            <w:r w:rsidR="005324AC" w:rsidRPr="004E000A">
              <w:rPr>
                <w:sz w:val="20"/>
                <w:szCs w:val="20"/>
              </w:rPr>
              <w:t xml:space="preserve"> to develo</w:t>
            </w:r>
            <w:r w:rsidR="0098639D" w:rsidRPr="00941B7A">
              <w:rPr>
                <w:sz w:val="20"/>
                <w:szCs w:val="20"/>
              </w:rPr>
              <w:t>p new national security strategies</w:t>
            </w:r>
            <w:r w:rsidR="005646DC" w:rsidRPr="004E000A">
              <w:rPr>
                <w:sz w:val="20"/>
                <w:szCs w:val="20"/>
              </w:rPr>
              <w:t xml:space="preserve"> and associated security sector govern</w:t>
            </w:r>
            <w:r w:rsidR="00941B7A" w:rsidRPr="00A544E1">
              <w:rPr>
                <w:sz w:val="20"/>
                <w:szCs w:val="20"/>
              </w:rPr>
              <w:t>ance mechanisms</w:t>
            </w:r>
            <w:r w:rsidR="005646DC" w:rsidRPr="004E000A">
              <w:rPr>
                <w:sz w:val="20"/>
                <w:szCs w:val="20"/>
              </w:rPr>
              <w:t xml:space="preserve">. </w:t>
            </w:r>
          </w:p>
          <w:p w:rsidR="00155FED" w:rsidRPr="009C5DCB" w:rsidRDefault="00BF7DB5" w:rsidP="00F916CA">
            <w:pPr>
              <w:autoSpaceDE w:val="0"/>
              <w:autoSpaceDN w:val="0"/>
              <w:adjustRightInd w:val="0"/>
              <w:spacing w:line="240" w:lineRule="auto"/>
              <w:rPr>
                <w:sz w:val="20"/>
                <w:szCs w:val="20"/>
              </w:rPr>
            </w:pPr>
            <w:r w:rsidRPr="0098639D">
              <w:rPr>
                <w:rFonts w:cs="Tahoma"/>
                <w:sz w:val="20"/>
                <w:szCs w:val="20"/>
                <w:lang w:val="en-GB"/>
              </w:rPr>
              <w:t>2</w:t>
            </w:r>
            <w:r w:rsidR="00155FED" w:rsidRPr="0098639D">
              <w:rPr>
                <w:rFonts w:cs="Tahoma"/>
                <w:sz w:val="20"/>
                <w:szCs w:val="20"/>
                <w:lang w:val="en-GB"/>
              </w:rPr>
              <w:t xml:space="preserve">. </w:t>
            </w:r>
            <w:r w:rsidR="00233225" w:rsidRPr="004E000A">
              <w:rPr>
                <w:rFonts w:cs="Tahoma"/>
                <w:sz w:val="20"/>
                <w:szCs w:val="20"/>
                <w:lang w:val="en-GB"/>
              </w:rPr>
              <w:t xml:space="preserve">Security Sector Governance enhanced in Fiji </w:t>
            </w:r>
            <w:r w:rsidR="008F4F01" w:rsidRPr="004E000A">
              <w:rPr>
                <w:rFonts w:cs="Tahoma"/>
                <w:sz w:val="20"/>
                <w:szCs w:val="20"/>
                <w:lang w:val="en-GB"/>
              </w:rPr>
              <w:t xml:space="preserve">through </w:t>
            </w:r>
            <w:r w:rsidR="003117D2" w:rsidRPr="004E000A">
              <w:rPr>
                <w:rFonts w:cs="Tahoma"/>
                <w:sz w:val="20"/>
                <w:szCs w:val="20"/>
                <w:lang w:val="en-GB"/>
              </w:rPr>
              <w:t xml:space="preserve">support </w:t>
            </w:r>
            <w:r w:rsidR="00233225" w:rsidRPr="004E000A">
              <w:rPr>
                <w:rFonts w:cs="Tahoma"/>
                <w:sz w:val="20"/>
                <w:szCs w:val="20"/>
                <w:lang w:val="en-GB"/>
              </w:rPr>
              <w:t xml:space="preserve">to </w:t>
            </w:r>
            <w:r w:rsidR="003117D2" w:rsidRPr="004E000A">
              <w:rPr>
                <w:rFonts w:cs="Tahoma"/>
                <w:sz w:val="20"/>
                <w:szCs w:val="20"/>
                <w:lang w:val="en-GB"/>
              </w:rPr>
              <w:t>the development of a new national security strategy</w:t>
            </w:r>
            <w:r w:rsidR="00233225" w:rsidRPr="004E000A">
              <w:rPr>
                <w:rFonts w:cs="Tahoma"/>
                <w:sz w:val="20"/>
                <w:szCs w:val="20"/>
                <w:lang w:val="en-GB"/>
              </w:rPr>
              <w:t xml:space="preserve"> and related White Papers, capacity building for civilian oversight mechanisms and human rights </w:t>
            </w:r>
            <w:r w:rsidR="009D79E2">
              <w:rPr>
                <w:rFonts w:cs="Tahoma"/>
                <w:sz w:val="20"/>
                <w:szCs w:val="20"/>
                <w:lang w:val="en-GB"/>
              </w:rPr>
              <w:t xml:space="preserve">and prevention of sexual and gender based violence </w:t>
            </w:r>
            <w:r w:rsidR="00FA560E" w:rsidRPr="00FA560E">
              <w:rPr>
                <w:rFonts w:cs="Tahoma"/>
                <w:sz w:val="20"/>
                <w:szCs w:val="20"/>
                <w:lang w:val="en-GB"/>
              </w:rPr>
              <w:t>training for military forces,</w:t>
            </w:r>
            <w:r w:rsidR="00233225" w:rsidRPr="004E000A">
              <w:rPr>
                <w:rFonts w:cs="Tahoma"/>
                <w:sz w:val="20"/>
                <w:szCs w:val="20"/>
                <w:lang w:val="en-GB"/>
              </w:rPr>
              <w:t xml:space="preserve"> police</w:t>
            </w:r>
            <w:r w:rsidR="00FA560E">
              <w:rPr>
                <w:rFonts w:cs="Tahoma"/>
                <w:sz w:val="20"/>
                <w:szCs w:val="20"/>
                <w:lang w:val="en-GB"/>
              </w:rPr>
              <w:t xml:space="preserve"> and corrections service</w:t>
            </w:r>
            <w:r w:rsidR="00233225" w:rsidRPr="004E000A">
              <w:rPr>
                <w:rFonts w:cs="Tahoma"/>
                <w:sz w:val="20"/>
                <w:szCs w:val="20"/>
                <w:lang w:val="en-GB"/>
              </w:rPr>
              <w:t xml:space="preserve">. </w:t>
            </w:r>
          </w:p>
          <w:p w:rsidR="008C3ABE" w:rsidRPr="00586505" w:rsidRDefault="00BB12B0" w:rsidP="005646DC">
            <w:pPr>
              <w:autoSpaceDE w:val="0"/>
              <w:autoSpaceDN w:val="0"/>
              <w:adjustRightInd w:val="0"/>
              <w:spacing w:line="240" w:lineRule="auto"/>
              <w:rPr>
                <w:sz w:val="20"/>
                <w:szCs w:val="20"/>
              </w:rPr>
            </w:pPr>
            <w:r w:rsidRPr="00FA560E">
              <w:rPr>
                <w:rFonts w:cs="Tahoma"/>
                <w:sz w:val="20"/>
                <w:szCs w:val="20"/>
                <w:lang w:val="en-GB"/>
              </w:rPr>
              <w:t>3</w:t>
            </w:r>
            <w:r w:rsidR="00155FED" w:rsidRPr="00FA560E">
              <w:rPr>
                <w:rFonts w:cs="Tahoma"/>
                <w:sz w:val="20"/>
                <w:szCs w:val="20"/>
                <w:lang w:val="en-GB"/>
              </w:rPr>
              <w:t xml:space="preserve">. </w:t>
            </w:r>
            <w:r w:rsidR="008F4F01" w:rsidRPr="004E000A">
              <w:rPr>
                <w:rFonts w:cs="Tahoma"/>
                <w:sz w:val="20"/>
                <w:szCs w:val="20"/>
                <w:lang w:val="en-GB"/>
              </w:rPr>
              <w:t>Security Sector Governance enhanced in Papua New Guinea through</w:t>
            </w:r>
            <w:r w:rsidR="005646DC" w:rsidRPr="004E000A">
              <w:rPr>
                <w:rFonts w:cs="Tahoma"/>
                <w:sz w:val="20"/>
                <w:szCs w:val="20"/>
                <w:lang w:val="en-GB"/>
              </w:rPr>
              <w:t xml:space="preserve"> strengthening </w:t>
            </w:r>
            <w:r w:rsidR="008F4F01" w:rsidRPr="004E000A">
              <w:rPr>
                <w:rFonts w:cs="Tahoma"/>
                <w:sz w:val="20"/>
                <w:szCs w:val="20"/>
                <w:lang w:val="en-GB"/>
              </w:rPr>
              <w:t>c</w:t>
            </w:r>
            <w:r w:rsidR="00155FED" w:rsidRPr="0098639D">
              <w:rPr>
                <w:rFonts w:cs="Tahoma"/>
                <w:sz w:val="20"/>
                <w:szCs w:val="20"/>
                <w:lang w:val="en-GB"/>
              </w:rPr>
              <w:t xml:space="preserve">apacities within the Office of Security Coordination and Assessment to </w:t>
            </w:r>
            <w:r w:rsidR="00394D0B" w:rsidRPr="004E000A">
              <w:rPr>
                <w:rFonts w:cs="Tahoma"/>
                <w:sz w:val="20"/>
                <w:szCs w:val="20"/>
                <w:lang w:val="en-GB"/>
              </w:rPr>
              <w:t xml:space="preserve">support the full </w:t>
            </w:r>
            <w:r w:rsidR="00155FED" w:rsidRPr="0098639D">
              <w:rPr>
                <w:rFonts w:cs="Tahoma"/>
                <w:sz w:val="20"/>
                <w:szCs w:val="20"/>
                <w:lang w:val="en-GB"/>
              </w:rPr>
              <w:t>implement</w:t>
            </w:r>
            <w:r w:rsidR="00394D0B" w:rsidRPr="004E000A">
              <w:rPr>
                <w:rFonts w:cs="Tahoma"/>
                <w:sz w:val="20"/>
                <w:szCs w:val="20"/>
                <w:lang w:val="en-GB"/>
              </w:rPr>
              <w:t>ation of</w:t>
            </w:r>
            <w:r w:rsidR="00155FED" w:rsidRPr="0098639D">
              <w:rPr>
                <w:rFonts w:cs="Tahoma"/>
                <w:sz w:val="20"/>
                <w:szCs w:val="20"/>
                <w:lang w:val="en-GB"/>
              </w:rPr>
              <w:t xml:space="preserve"> the Papua New Guinea </w:t>
            </w:r>
            <w:r w:rsidR="00394D0B" w:rsidRPr="004E000A">
              <w:rPr>
                <w:rFonts w:cs="Tahoma"/>
                <w:sz w:val="20"/>
                <w:szCs w:val="20"/>
                <w:lang w:val="en-GB"/>
              </w:rPr>
              <w:t xml:space="preserve">2013 </w:t>
            </w:r>
            <w:r w:rsidR="00155FED" w:rsidRPr="0098639D">
              <w:rPr>
                <w:rFonts w:cs="Tahoma"/>
                <w:sz w:val="20"/>
                <w:szCs w:val="20"/>
                <w:lang w:val="en-GB"/>
              </w:rPr>
              <w:t xml:space="preserve">National Security </w:t>
            </w:r>
            <w:r w:rsidR="00394D0B" w:rsidRPr="004E000A">
              <w:rPr>
                <w:rFonts w:cs="Tahoma"/>
                <w:sz w:val="20"/>
                <w:szCs w:val="20"/>
                <w:lang w:val="en-GB"/>
              </w:rPr>
              <w:t>Strategy.</w:t>
            </w:r>
          </w:p>
        </w:tc>
      </w:tr>
      <w:tr w:rsidR="008C3ABE" w:rsidRPr="00586505" w:rsidTr="00184F0A">
        <w:tc>
          <w:tcPr>
            <w:tcW w:w="2977" w:type="dxa"/>
            <w:vAlign w:val="center"/>
          </w:tcPr>
          <w:p w:rsidR="008C3ABE" w:rsidRPr="00586505" w:rsidRDefault="008C3ABE" w:rsidP="00F916CA">
            <w:pPr>
              <w:tabs>
                <w:tab w:val="left" w:pos="4680"/>
              </w:tabs>
              <w:spacing w:after="60" w:line="240" w:lineRule="auto"/>
              <w:jc w:val="both"/>
              <w:rPr>
                <w:i/>
                <w:sz w:val="16"/>
                <w:szCs w:val="16"/>
                <w:shd w:val="clear" w:color="auto" w:fill="E0E0E0"/>
                <w:lang w:val="en-GB"/>
              </w:rPr>
            </w:pPr>
            <w:r w:rsidRPr="00586505">
              <w:rPr>
                <w:b/>
                <w:bCs/>
                <w:szCs w:val="24"/>
                <w:lang w:val="en-GB"/>
              </w:rPr>
              <w:t>Executing Entity:</w:t>
            </w:r>
          </w:p>
        </w:tc>
        <w:tc>
          <w:tcPr>
            <w:tcW w:w="6663" w:type="dxa"/>
            <w:gridSpan w:val="2"/>
            <w:vAlign w:val="center"/>
          </w:tcPr>
          <w:p w:rsidR="008C3ABE" w:rsidRPr="00586505" w:rsidRDefault="002E516C" w:rsidP="00F916CA">
            <w:pPr>
              <w:tabs>
                <w:tab w:val="left" w:pos="4680"/>
              </w:tabs>
              <w:spacing w:after="60" w:line="240" w:lineRule="auto"/>
              <w:jc w:val="both"/>
              <w:rPr>
                <w:sz w:val="20"/>
                <w:szCs w:val="20"/>
                <w:lang w:val="en-GB"/>
              </w:rPr>
            </w:pPr>
            <w:r>
              <w:rPr>
                <w:sz w:val="20"/>
                <w:szCs w:val="20"/>
                <w:lang w:val="en-GB"/>
              </w:rPr>
              <w:t>UNDP</w:t>
            </w:r>
          </w:p>
        </w:tc>
      </w:tr>
      <w:tr w:rsidR="008C3ABE" w:rsidRPr="00586505" w:rsidTr="00184F0A">
        <w:tc>
          <w:tcPr>
            <w:tcW w:w="2977" w:type="dxa"/>
            <w:vAlign w:val="center"/>
          </w:tcPr>
          <w:p w:rsidR="008C3ABE" w:rsidRPr="00586505" w:rsidRDefault="00CB26B8" w:rsidP="00CB26B8">
            <w:pPr>
              <w:tabs>
                <w:tab w:val="left" w:pos="4680"/>
              </w:tabs>
              <w:spacing w:after="60" w:line="240" w:lineRule="auto"/>
              <w:jc w:val="both"/>
              <w:rPr>
                <w:b/>
                <w:bCs/>
                <w:szCs w:val="24"/>
                <w:lang w:val="en-GB"/>
              </w:rPr>
            </w:pPr>
            <w:r>
              <w:rPr>
                <w:b/>
                <w:bCs/>
                <w:szCs w:val="24"/>
                <w:lang w:val="en-GB"/>
              </w:rPr>
              <w:t>Implemen</w:t>
            </w:r>
            <w:r w:rsidR="008C3ABE" w:rsidRPr="00586505">
              <w:rPr>
                <w:b/>
                <w:bCs/>
                <w:szCs w:val="24"/>
                <w:lang w:val="en-GB"/>
              </w:rPr>
              <w:t>ting Agencies:</w:t>
            </w:r>
          </w:p>
        </w:tc>
        <w:tc>
          <w:tcPr>
            <w:tcW w:w="6663" w:type="dxa"/>
            <w:gridSpan w:val="2"/>
            <w:vAlign w:val="center"/>
          </w:tcPr>
          <w:p w:rsidR="008C3ABE" w:rsidRPr="00586505" w:rsidRDefault="007242BB" w:rsidP="002E516C">
            <w:pPr>
              <w:tabs>
                <w:tab w:val="left" w:pos="4680"/>
              </w:tabs>
              <w:spacing w:after="60" w:line="240" w:lineRule="auto"/>
              <w:jc w:val="both"/>
              <w:rPr>
                <w:sz w:val="20"/>
                <w:szCs w:val="20"/>
                <w:lang w:val="en-GB"/>
              </w:rPr>
            </w:pPr>
            <w:r w:rsidRPr="00586505">
              <w:rPr>
                <w:sz w:val="20"/>
                <w:szCs w:val="20"/>
                <w:lang w:val="en-GB"/>
              </w:rPr>
              <w:t>UNDP</w:t>
            </w:r>
          </w:p>
        </w:tc>
      </w:tr>
      <w:tr w:rsidR="007242BB" w:rsidRPr="00586505" w:rsidTr="00184F0A">
        <w:tc>
          <w:tcPr>
            <w:tcW w:w="2977" w:type="dxa"/>
            <w:vAlign w:val="center"/>
          </w:tcPr>
          <w:p w:rsidR="007242BB" w:rsidRPr="00586505" w:rsidRDefault="002E516C" w:rsidP="00F916CA">
            <w:pPr>
              <w:tabs>
                <w:tab w:val="left" w:pos="4680"/>
              </w:tabs>
              <w:spacing w:after="60" w:line="240" w:lineRule="auto"/>
              <w:jc w:val="both"/>
              <w:rPr>
                <w:b/>
                <w:bCs/>
                <w:szCs w:val="24"/>
                <w:lang w:val="en-GB"/>
              </w:rPr>
            </w:pPr>
            <w:r>
              <w:rPr>
                <w:b/>
                <w:bCs/>
                <w:szCs w:val="24"/>
                <w:lang w:val="en-GB"/>
              </w:rPr>
              <w:t>Partnership Strategy:</w:t>
            </w:r>
          </w:p>
        </w:tc>
        <w:tc>
          <w:tcPr>
            <w:tcW w:w="6663" w:type="dxa"/>
            <w:gridSpan w:val="2"/>
            <w:vAlign w:val="center"/>
          </w:tcPr>
          <w:p w:rsidR="007242BB" w:rsidRPr="00586505" w:rsidRDefault="002E516C" w:rsidP="002E516C">
            <w:pPr>
              <w:tabs>
                <w:tab w:val="left" w:pos="4680"/>
              </w:tabs>
              <w:spacing w:after="60" w:line="240" w:lineRule="auto"/>
              <w:jc w:val="both"/>
              <w:rPr>
                <w:sz w:val="20"/>
                <w:szCs w:val="20"/>
                <w:lang w:val="en-GB"/>
              </w:rPr>
            </w:pPr>
            <w:r>
              <w:rPr>
                <w:sz w:val="20"/>
                <w:szCs w:val="20"/>
                <w:lang w:val="en-GB"/>
              </w:rPr>
              <w:t xml:space="preserve">UN Women, OHCHR, DPKO, </w:t>
            </w:r>
            <w:r w:rsidR="00996E80">
              <w:rPr>
                <w:sz w:val="20"/>
                <w:szCs w:val="20"/>
                <w:lang w:val="en-GB"/>
              </w:rPr>
              <w:t xml:space="preserve">UNODC, </w:t>
            </w:r>
            <w:r w:rsidR="007242BB" w:rsidRPr="00586505">
              <w:rPr>
                <w:sz w:val="20"/>
                <w:szCs w:val="20"/>
                <w:lang w:val="en-GB"/>
              </w:rPr>
              <w:t>Pacific Islands Forum Secre</w:t>
            </w:r>
            <w:r>
              <w:rPr>
                <w:sz w:val="20"/>
                <w:szCs w:val="20"/>
                <w:lang w:val="en-GB"/>
              </w:rPr>
              <w:t xml:space="preserve">tariat, </w:t>
            </w:r>
            <w:r w:rsidR="007242BB" w:rsidRPr="00586505">
              <w:rPr>
                <w:sz w:val="20"/>
                <w:szCs w:val="20"/>
                <w:lang w:val="en-GB"/>
              </w:rPr>
              <w:t>Secretariat of the South Pacif</w:t>
            </w:r>
            <w:r>
              <w:rPr>
                <w:sz w:val="20"/>
                <w:szCs w:val="20"/>
                <w:lang w:val="en-GB"/>
              </w:rPr>
              <w:t>ic Community (SPC),</w:t>
            </w:r>
            <w:r w:rsidR="00BF7DB5">
              <w:rPr>
                <w:sz w:val="20"/>
                <w:szCs w:val="20"/>
                <w:lang w:val="en-GB"/>
              </w:rPr>
              <w:t xml:space="preserve"> ISSAT/DCAF</w:t>
            </w:r>
            <w:r>
              <w:rPr>
                <w:sz w:val="20"/>
                <w:szCs w:val="20"/>
                <w:lang w:val="en-GB"/>
              </w:rPr>
              <w:t xml:space="preserve"> and</w:t>
            </w:r>
            <w:r w:rsidR="00494C39">
              <w:rPr>
                <w:sz w:val="20"/>
                <w:szCs w:val="20"/>
                <w:lang w:val="en-GB"/>
              </w:rPr>
              <w:t xml:space="preserve"> </w:t>
            </w:r>
            <w:r>
              <w:rPr>
                <w:sz w:val="20"/>
                <w:szCs w:val="20"/>
                <w:lang w:val="en-GB"/>
              </w:rPr>
              <w:t>s</w:t>
            </w:r>
            <w:r w:rsidR="00B5043D">
              <w:rPr>
                <w:sz w:val="20"/>
                <w:szCs w:val="20"/>
                <w:lang w:val="en-GB"/>
              </w:rPr>
              <w:t>elected NGOs.</w:t>
            </w:r>
          </w:p>
        </w:tc>
      </w:tr>
      <w:tr w:rsidR="008C3ABE" w:rsidRPr="00586505" w:rsidTr="00184F0A">
        <w:tc>
          <w:tcPr>
            <w:tcW w:w="9640" w:type="dxa"/>
            <w:gridSpan w:val="3"/>
            <w:vAlign w:val="center"/>
          </w:tcPr>
          <w:p w:rsidR="008C3ABE" w:rsidRPr="00BB12B0" w:rsidRDefault="008075E9" w:rsidP="004E7852">
            <w:pPr>
              <w:spacing w:line="240" w:lineRule="auto"/>
              <w:jc w:val="both"/>
              <w:rPr>
                <w:rFonts w:cs="Arial"/>
                <w:sz w:val="20"/>
                <w:szCs w:val="20"/>
              </w:rPr>
            </w:pPr>
            <w:r w:rsidRPr="00BB12B0">
              <w:rPr>
                <w:rFonts w:cs="Arial"/>
                <w:sz w:val="20"/>
                <w:szCs w:val="20"/>
              </w:rPr>
              <w:t xml:space="preserve">This project promotes </w:t>
            </w:r>
            <w:r w:rsidR="00F52CFC">
              <w:rPr>
                <w:rFonts w:cs="Arial"/>
                <w:sz w:val="20"/>
                <w:szCs w:val="20"/>
              </w:rPr>
              <w:t xml:space="preserve">enhanced </w:t>
            </w:r>
            <w:r w:rsidRPr="00BB12B0">
              <w:rPr>
                <w:rFonts w:cs="Arial"/>
                <w:sz w:val="20"/>
                <w:szCs w:val="20"/>
              </w:rPr>
              <w:t xml:space="preserve">Security Sector Governance </w:t>
            </w:r>
            <w:r w:rsidR="00BF7DB5">
              <w:rPr>
                <w:rFonts w:cs="Arial"/>
                <w:sz w:val="20"/>
                <w:szCs w:val="20"/>
              </w:rPr>
              <w:t xml:space="preserve">(SSG) </w:t>
            </w:r>
            <w:r w:rsidRPr="00BB12B0">
              <w:rPr>
                <w:rFonts w:cs="Arial"/>
                <w:sz w:val="20"/>
                <w:szCs w:val="20"/>
              </w:rPr>
              <w:t xml:space="preserve">in </w:t>
            </w:r>
            <w:r w:rsidR="00524FCF">
              <w:rPr>
                <w:rFonts w:cs="Arial"/>
                <w:sz w:val="20"/>
                <w:szCs w:val="20"/>
              </w:rPr>
              <w:t>select</w:t>
            </w:r>
            <w:r w:rsidRPr="00BB12B0">
              <w:rPr>
                <w:rFonts w:cs="Arial"/>
                <w:sz w:val="20"/>
                <w:szCs w:val="20"/>
              </w:rPr>
              <w:t xml:space="preserve"> Pacific Island Countries</w:t>
            </w:r>
            <w:r w:rsidR="00BF7DB5">
              <w:rPr>
                <w:rFonts w:cs="Arial"/>
                <w:sz w:val="20"/>
                <w:szCs w:val="20"/>
              </w:rPr>
              <w:t xml:space="preserve"> (PICs)</w:t>
            </w:r>
            <w:r w:rsidRPr="00BB12B0">
              <w:rPr>
                <w:rFonts w:cs="Arial"/>
                <w:sz w:val="20"/>
                <w:szCs w:val="20"/>
              </w:rPr>
              <w:t xml:space="preserve"> to </w:t>
            </w:r>
            <w:r w:rsidR="00F52CFC">
              <w:rPr>
                <w:rFonts w:cs="Arial"/>
                <w:sz w:val="20"/>
                <w:szCs w:val="20"/>
              </w:rPr>
              <w:t xml:space="preserve">improve </w:t>
            </w:r>
            <w:r w:rsidRPr="00BB12B0">
              <w:rPr>
                <w:rFonts w:cs="Arial"/>
                <w:sz w:val="20"/>
                <w:szCs w:val="20"/>
              </w:rPr>
              <w:t>human security in the region</w:t>
            </w:r>
            <w:r w:rsidR="00A544E1">
              <w:rPr>
                <w:rFonts w:cs="Arial"/>
                <w:sz w:val="20"/>
                <w:szCs w:val="20"/>
              </w:rPr>
              <w:t xml:space="preserve"> and provide a fundamental basis for economic, social and political development</w:t>
            </w:r>
            <w:r w:rsidRPr="00BB12B0">
              <w:rPr>
                <w:rFonts w:cs="Arial"/>
                <w:sz w:val="20"/>
                <w:szCs w:val="20"/>
              </w:rPr>
              <w:t xml:space="preserve">. It does so by raising awareness on improved </w:t>
            </w:r>
            <w:r w:rsidR="00F52CFC">
              <w:rPr>
                <w:rFonts w:cs="Arial"/>
                <w:sz w:val="20"/>
                <w:szCs w:val="20"/>
              </w:rPr>
              <w:t>security sector governance</w:t>
            </w:r>
            <w:r w:rsidRPr="00BB12B0">
              <w:rPr>
                <w:rFonts w:cs="Arial"/>
                <w:sz w:val="20"/>
                <w:szCs w:val="20"/>
              </w:rPr>
              <w:t xml:space="preserve"> concepts though constructive engagement with Governments, Parliaments, civil society and the media as well as providing financial and technical assistance and training to help countries achieve </w:t>
            </w:r>
            <w:r w:rsidR="00BB12B0">
              <w:rPr>
                <w:rFonts w:cs="Arial"/>
                <w:sz w:val="20"/>
                <w:szCs w:val="20"/>
              </w:rPr>
              <w:t>transformation</w:t>
            </w:r>
            <w:r w:rsidRPr="00BB12B0">
              <w:rPr>
                <w:rFonts w:cs="Arial"/>
                <w:sz w:val="20"/>
                <w:szCs w:val="20"/>
              </w:rPr>
              <w:t xml:space="preserve"> </w:t>
            </w:r>
            <w:r w:rsidR="00BB12B0">
              <w:rPr>
                <w:rFonts w:cs="Arial"/>
                <w:sz w:val="20"/>
                <w:szCs w:val="20"/>
              </w:rPr>
              <w:t xml:space="preserve">of their </w:t>
            </w:r>
            <w:r w:rsidRPr="00BB12B0">
              <w:rPr>
                <w:rFonts w:cs="Arial"/>
                <w:sz w:val="20"/>
                <w:szCs w:val="20"/>
              </w:rPr>
              <w:t xml:space="preserve">security sector </w:t>
            </w:r>
            <w:r w:rsidR="00BB12B0">
              <w:rPr>
                <w:rFonts w:cs="Arial"/>
                <w:sz w:val="20"/>
                <w:szCs w:val="20"/>
              </w:rPr>
              <w:t xml:space="preserve">towards more </w:t>
            </w:r>
            <w:r w:rsidR="00F52CFC">
              <w:rPr>
                <w:rFonts w:cs="Arial"/>
                <w:sz w:val="20"/>
                <w:szCs w:val="20"/>
              </w:rPr>
              <w:t xml:space="preserve">effective, </w:t>
            </w:r>
            <w:r w:rsidRPr="00BB12B0">
              <w:rPr>
                <w:rFonts w:cs="Arial"/>
                <w:sz w:val="20"/>
                <w:szCs w:val="20"/>
              </w:rPr>
              <w:t xml:space="preserve">accountable </w:t>
            </w:r>
            <w:r w:rsidR="00F52CFC">
              <w:rPr>
                <w:rFonts w:cs="Arial"/>
                <w:sz w:val="20"/>
                <w:szCs w:val="20"/>
              </w:rPr>
              <w:t xml:space="preserve">and inclusive </w:t>
            </w:r>
            <w:r w:rsidRPr="00BB12B0">
              <w:rPr>
                <w:rFonts w:cs="Arial"/>
                <w:sz w:val="20"/>
                <w:szCs w:val="20"/>
              </w:rPr>
              <w:t xml:space="preserve">institutions able to provide security to all its peoples through professionalism </w:t>
            </w:r>
            <w:r w:rsidR="00BF7DB5">
              <w:rPr>
                <w:rFonts w:cs="Arial"/>
                <w:sz w:val="20"/>
                <w:szCs w:val="20"/>
              </w:rPr>
              <w:t>with</w:t>
            </w:r>
            <w:r w:rsidRPr="00BB12B0">
              <w:rPr>
                <w:rFonts w:cs="Arial"/>
                <w:sz w:val="20"/>
                <w:szCs w:val="20"/>
              </w:rPr>
              <w:t xml:space="preserve"> </w:t>
            </w:r>
            <w:r w:rsidR="00BB12B0">
              <w:rPr>
                <w:rFonts w:cs="Arial"/>
                <w:sz w:val="20"/>
                <w:szCs w:val="20"/>
              </w:rPr>
              <w:t xml:space="preserve">improved </w:t>
            </w:r>
            <w:r w:rsidRPr="00BB12B0">
              <w:rPr>
                <w:rFonts w:cs="Arial"/>
                <w:sz w:val="20"/>
                <w:szCs w:val="20"/>
              </w:rPr>
              <w:t xml:space="preserve">capacities. The </w:t>
            </w:r>
            <w:r w:rsidR="007242BB" w:rsidRPr="00BB12B0">
              <w:rPr>
                <w:rFonts w:cs="Arial"/>
                <w:sz w:val="20"/>
                <w:szCs w:val="20"/>
              </w:rPr>
              <w:t>political landscape in many of the PIC</w:t>
            </w:r>
            <w:r w:rsidR="00BF7DB5">
              <w:rPr>
                <w:rFonts w:cs="Arial"/>
                <w:sz w:val="20"/>
                <w:szCs w:val="20"/>
              </w:rPr>
              <w:t>s</w:t>
            </w:r>
            <w:r w:rsidR="007242BB" w:rsidRPr="00BB12B0">
              <w:rPr>
                <w:rFonts w:cs="Arial"/>
                <w:sz w:val="20"/>
                <w:szCs w:val="20"/>
              </w:rPr>
              <w:t xml:space="preserve"> </w:t>
            </w:r>
            <w:r w:rsidRPr="00BB12B0">
              <w:rPr>
                <w:rFonts w:cs="Arial"/>
                <w:sz w:val="20"/>
                <w:szCs w:val="20"/>
              </w:rPr>
              <w:t>is changing</w:t>
            </w:r>
            <w:r w:rsidR="007F17C2">
              <w:rPr>
                <w:rFonts w:cs="Arial"/>
                <w:sz w:val="20"/>
                <w:szCs w:val="20"/>
              </w:rPr>
              <w:t xml:space="preserve"> </w:t>
            </w:r>
            <w:r w:rsidRPr="00BB12B0">
              <w:rPr>
                <w:rFonts w:cs="Arial"/>
                <w:sz w:val="20"/>
                <w:szCs w:val="20"/>
              </w:rPr>
              <w:t xml:space="preserve"> bringing </w:t>
            </w:r>
            <w:r w:rsidR="007242BB" w:rsidRPr="00BB12B0">
              <w:rPr>
                <w:rFonts w:cs="Arial"/>
                <w:sz w:val="20"/>
                <w:szCs w:val="20"/>
              </w:rPr>
              <w:t xml:space="preserve">new opportunities </w:t>
            </w:r>
            <w:r w:rsidRPr="00BB12B0">
              <w:rPr>
                <w:rFonts w:cs="Arial"/>
                <w:sz w:val="20"/>
                <w:szCs w:val="20"/>
              </w:rPr>
              <w:t xml:space="preserve">and increased enthusiasm to embrace more holistic </w:t>
            </w:r>
            <w:r w:rsidR="00BB12B0">
              <w:rPr>
                <w:rFonts w:cs="Arial"/>
                <w:sz w:val="20"/>
                <w:szCs w:val="20"/>
              </w:rPr>
              <w:t xml:space="preserve">and inclusive </w:t>
            </w:r>
            <w:r w:rsidRPr="00BB12B0">
              <w:rPr>
                <w:rFonts w:cs="Arial"/>
                <w:sz w:val="20"/>
                <w:szCs w:val="20"/>
              </w:rPr>
              <w:t xml:space="preserve">security policies and security sector reform that are sector wide </w:t>
            </w:r>
            <w:r w:rsidR="00BB12B0">
              <w:rPr>
                <w:rFonts w:cs="Arial"/>
                <w:sz w:val="20"/>
                <w:szCs w:val="20"/>
              </w:rPr>
              <w:t xml:space="preserve">in nature and </w:t>
            </w:r>
            <w:r w:rsidRPr="00BB12B0">
              <w:rPr>
                <w:rFonts w:cs="Arial"/>
                <w:sz w:val="20"/>
                <w:szCs w:val="20"/>
              </w:rPr>
              <w:t xml:space="preserve">founded on human rights principles. </w:t>
            </w:r>
            <w:r w:rsidR="007F17C2">
              <w:rPr>
                <w:rFonts w:cs="Arial"/>
                <w:sz w:val="20"/>
                <w:szCs w:val="20"/>
              </w:rPr>
              <w:t xml:space="preserve">This is clearly evidenced in the Pacific leaders August 2014 approval of Guiding Principles to Enhance Security Sector Governance.  </w:t>
            </w:r>
            <w:r w:rsidRPr="00BB12B0">
              <w:rPr>
                <w:rFonts w:cs="Arial"/>
                <w:sz w:val="20"/>
                <w:szCs w:val="20"/>
              </w:rPr>
              <w:t xml:space="preserve">The </w:t>
            </w:r>
            <w:r w:rsidR="00AF02AC">
              <w:rPr>
                <w:rFonts w:cs="Arial"/>
                <w:sz w:val="20"/>
                <w:szCs w:val="20"/>
              </w:rPr>
              <w:t xml:space="preserve">PSSG </w:t>
            </w:r>
            <w:r w:rsidRPr="00BB12B0">
              <w:rPr>
                <w:rFonts w:cs="Arial"/>
                <w:sz w:val="20"/>
                <w:szCs w:val="20"/>
              </w:rPr>
              <w:t>project has a strong emphasis on accountability</w:t>
            </w:r>
            <w:r w:rsidR="00BD4624">
              <w:rPr>
                <w:rFonts w:cs="Arial"/>
                <w:sz w:val="20"/>
                <w:szCs w:val="20"/>
              </w:rPr>
              <w:t>, transparency and the</w:t>
            </w:r>
            <w:r w:rsidRPr="00BB12B0">
              <w:rPr>
                <w:rFonts w:cs="Arial"/>
                <w:sz w:val="20"/>
                <w:szCs w:val="20"/>
              </w:rPr>
              <w:t xml:space="preserve"> inclusion </w:t>
            </w:r>
            <w:r w:rsidR="00664D6D">
              <w:rPr>
                <w:rFonts w:cs="Arial"/>
                <w:sz w:val="20"/>
                <w:szCs w:val="20"/>
              </w:rPr>
              <w:t xml:space="preserve">in decision making for women, </w:t>
            </w:r>
            <w:r w:rsidR="00C42685">
              <w:rPr>
                <w:rFonts w:cs="Arial"/>
                <w:sz w:val="20"/>
                <w:szCs w:val="20"/>
              </w:rPr>
              <w:t xml:space="preserve">with gender equality being a significant </w:t>
            </w:r>
            <w:r w:rsidR="00664D6D">
              <w:rPr>
                <w:rFonts w:cs="Arial"/>
                <w:sz w:val="20"/>
                <w:szCs w:val="20"/>
              </w:rPr>
              <w:t>objective,</w:t>
            </w:r>
            <w:r w:rsidR="00C42685">
              <w:rPr>
                <w:rFonts w:cs="Arial"/>
                <w:sz w:val="20"/>
                <w:szCs w:val="20"/>
              </w:rPr>
              <w:t xml:space="preserve"> </w:t>
            </w:r>
            <w:r w:rsidR="00BB12B0">
              <w:rPr>
                <w:rFonts w:cs="Arial"/>
                <w:sz w:val="20"/>
                <w:szCs w:val="20"/>
              </w:rPr>
              <w:t>and youth as well as a focus on the most vulnerable in the region</w:t>
            </w:r>
            <w:r w:rsidRPr="00BB12B0">
              <w:rPr>
                <w:rFonts w:cs="Arial"/>
                <w:sz w:val="20"/>
                <w:szCs w:val="20"/>
              </w:rPr>
              <w:t xml:space="preserve">. </w:t>
            </w:r>
            <w:r w:rsidR="00AF02AC">
              <w:rPr>
                <w:rFonts w:cs="Arial"/>
                <w:sz w:val="20"/>
                <w:szCs w:val="20"/>
              </w:rPr>
              <w:t xml:space="preserve">This project document identifies strategic priority interventions for a Phase 1 which is aligned to </w:t>
            </w:r>
            <w:r w:rsidR="00F52CFC">
              <w:rPr>
                <w:rFonts w:cs="Arial"/>
                <w:sz w:val="20"/>
                <w:szCs w:val="20"/>
              </w:rPr>
              <w:t xml:space="preserve">the current </w:t>
            </w:r>
            <w:r w:rsidR="00AF02AC">
              <w:rPr>
                <w:rFonts w:cs="Arial"/>
                <w:sz w:val="20"/>
                <w:szCs w:val="20"/>
              </w:rPr>
              <w:t xml:space="preserve">funds availability:  </w:t>
            </w:r>
            <w:r w:rsidR="00B5043D">
              <w:rPr>
                <w:rFonts w:cs="Arial"/>
                <w:sz w:val="20"/>
                <w:szCs w:val="20"/>
              </w:rPr>
              <w:t xml:space="preserve">Output 1 </w:t>
            </w:r>
            <w:r w:rsidRPr="00BB12B0">
              <w:rPr>
                <w:rFonts w:cs="Arial"/>
                <w:sz w:val="20"/>
                <w:szCs w:val="20"/>
              </w:rPr>
              <w:t xml:space="preserve">focuses </w:t>
            </w:r>
            <w:r w:rsidR="00BB12B0" w:rsidRPr="00BB12B0">
              <w:rPr>
                <w:rFonts w:cs="Arial"/>
                <w:sz w:val="20"/>
                <w:szCs w:val="20"/>
              </w:rPr>
              <w:t>on</w:t>
            </w:r>
            <w:r w:rsidR="00AF02AC">
              <w:rPr>
                <w:rFonts w:cs="Arial"/>
                <w:sz w:val="20"/>
                <w:szCs w:val="20"/>
              </w:rPr>
              <w:t xml:space="preserve"> priority activities as part of </w:t>
            </w:r>
            <w:r w:rsidR="00685DEE">
              <w:rPr>
                <w:rFonts w:cs="Arial"/>
                <w:sz w:val="20"/>
                <w:szCs w:val="20"/>
              </w:rPr>
              <w:t>an overall</w:t>
            </w:r>
            <w:r w:rsidR="007F17C2">
              <w:rPr>
                <w:rFonts w:cs="Arial"/>
                <w:sz w:val="20"/>
                <w:szCs w:val="20"/>
              </w:rPr>
              <w:t xml:space="preserve"> regional approach</w:t>
            </w:r>
            <w:r w:rsidR="00524FCF">
              <w:rPr>
                <w:rFonts w:cs="Arial"/>
                <w:sz w:val="20"/>
                <w:szCs w:val="20"/>
              </w:rPr>
              <w:t xml:space="preserve">. </w:t>
            </w:r>
            <w:r w:rsidR="00B5043D">
              <w:rPr>
                <w:rFonts w:cs="Arial"/>
                <w:sz w:val="20"/>
                <w:szCs w:val="20"/>
              </w:rPr>
              <w:t xml:space="preserve">Outputs 2 and 3 </w:t>
            </w:r>
            <w:r w:rsidR="00685DEE">
              <w:rPr>
                <w:rFonts w:cs="Arial"/>
                <w:sz w:val="20"/>
                <w:szCs w:val="20"/>
              </w:rPr>
              <w:t>provide</w:t>
            </w:r>
            <w:r w:rsidR="00B5043D">
              <w:rPr>
                <w:rFonts w:cs="Arial"/>
                <w:sz w:val="20"/>
                <w:szCs w:val="20"/>
              </w:rPr>
              <w:t xml:space="preserve"> </w:t>
            </w:r>
            <w:r w:rsidR="00AF02AC">
              <w:rPr>
                <w:rFonts w:cs="Arial"/>
                <w:sz w:val="20"/>
                <w:szCs w:val="20"/>
              </w:rPr>
              <w:t xml:space="preserve">specific activities </w:t>
            </w:r>
            <w:r w:rsidR="00BB12B0" w:rsidRPr="00BB12B0">
              <w:rPr>
                <w:rFonts w:cs="Arial"/>
                <w:sz w:val="20"/>
                <w:szCs w:val="20"/>
              </w:rPr>
              <w:t>for Fiji and Pap</w:t>
            </w:r>
            <w:r w:rsidR="00524FCF">
              <w:rPr>
                <w:rFonts w:cs="Arial"/>
                <w:sz w:val="20"/>
                <w:szCs w:val="20"/>
              </w:rPr>
              <w:t>u</w:t>
            </w:r>
            <w:r w:rsidR="00BB12B0" w:rsidRPr="00BB12B0">
              <w:rPr>
                <w:rFonts w:cs="Arial"/>
                <w:sz w:val="20"/>
                <w:szCs w:val="20"/>
              </w:rPr>
              <w:t xml:space="preserve">a New Guinea who </w:t>
            </w:r>
            <w:r w:rsidR="00AF02AC">
              <w:rPr>
                <w:rFonts w:cs="Arial"/>
                <w:sz w:val="20"/>
                <w:szCs w:val="20"/>
              </w:rPr>
              <w:t xml:space="preserve">have already commenced </w:t>
            </w:r>
            <w:r w:rsidR="00BB12B0" w:rsidRPr="00BB12B0">
              <w:rPr>
                <w:rFonts w:cs="Arial"/>
                <w:sz w:val="20"/>
                <w:szCs w:val="20"/>
              </w:rPr>
              <w:t xml:space="preserve">taking their </w:t>
            </w:r>
            <w:r w:rsidR="007F17C2">
              <w:rPr>
                <w:rFonts w:cs="Arial"/>
                <w:sz w:val="20"/>
                <w:szCs w:val="20"/>
              </w:rPr>
              <w:t xml:space="preserve">national </w:t>
            </w:r>
            <w:r w:rsidR="00BB12B0" w:rsidRPr="00BB12B0">
              <w:rPr>
                <w:rFonts w:cs="Arial"/>
                <w:sz w:val="20"/>
                <w:szCs w:val="20"/>
              </w:rPr>
              <w:t>security policy and implementation forward.</w:t>
            </w:r>
            <w:r w:rsidR="00741FA5">
              <w:rPr>
                <w:rFonts w:cs="Arial"/>
                <w:sz w:val="20"/>
                <w:szCs w:val="20"/>
              </w:rPr>
              <w:t xml:space="preserve"> </w:t>
            </w:r>
            <w:r w:rsidR="00524FCF">
              <w:rPr>
                <w:rFonts w:cs="Arial"/>
                <w:sz w:val="20"/>
                <w:szCs w:val="20"/>
              </w:rPr>
              <w:t xml:space="preserve">Phase 1 of the </w:t>
            </w:r>
            <w:r w:rsidR="00741FA5">
              <w:rPr>
                <w:rFonts w:cs="Arial"/>
                <w:sz w:val="20"/>
                <w:szCs w:val="20"/>
              </w:rPr>
              <w:t xml:space="preserve">project will provide the foundation </w:t>
            </w:r>
            <w:r w:rsidR="00524FCF">
              <w:rPr>
                <w:rFonts w:cs="Arial"/>
                <w:sz w:val="20"/>
                <w:szCs w:val="20"/>
              </w:rPr>
              <w:t xml:space="preserve">for </w:t>
            </w:r>
            <w:r w:rsidR="00741FA5">
              <w:rPr>
                <w:rFonts w:cs="Arial"/>
                <w:sz w:val="20"/>
                <w:szCs w:val="20"/>
              </w:rPr>
              <w:t xml:space="preserve">a </w:t>
            </w:r>
            <w:r w:rsidR="00524FCF">
              <w:rPr>
                <w:rFonts w:cs="Arial"/>
                <w:sz w:val="20"/>
                <w:szCs w:val="20"/>
              </w:rPr>
              <w:t xml:space="preserve">possible </w:t>
            </w:r>
            <w:r w:rsidR="00741FA5">
              <w:rPr>
                <w:rFonts w:cs="Arial"/>
                <w:sz w:val="20"/>
                <w:szCs w:val="20"/>
              </w:rPr>
              <w:t>follow on Phase 2</w:t>
            </w:r>
            <w:r w:rsidR="00524FCF">
              <w:rPr>
                <w:rFonts w:cs="Arial"/>
                <w:sz w:val="20"/>
                <w:szCs w:val="20"/>
              </w:rPr>
              <w:t xml:space="preserve"> (depending on funding availability), including specific country programmes.</w:t>
            </w:r>
            <w:r w:rsidR="00996E80">
              <w:rPr>
                <w:rFonts w:cs="Arial"/>
                <w:sz w:val="20"/>
                <w:szCs w:val="20"/>
              </w:rPr>
              <w:t xml:space="preserve"> The project will be implemented by UNDP in partnership with a number of UN agencies (UN Women, OHCHR, DPKO and UNODC), relevant regional organisations and other partners.</w:t>
            </w:r>
          </w:p>
        </w:tc>
      </w:tr>
      <w:tr w:rsidR="008C3ABE" w:rsidRPr="00586505" w:rsidTr="00184F0A">
        <w:tc>
          <w:tcPr>
            <w:tcW w:w="4820" w:type="dxa"/>
            <w:gridSpan w:val="2"/>
            <w:vAlign w:val="center"/>
          </w:tcPr>
          <w:p w:rsidR="007242BB" w:rsidRPr="00586505" w:rsidRDefault="007242BB" w:rsidP="00F916CA">
            <w:pPr>
              <w:spacing w:after="0" w:line="240" w:lineRule="auto"/>
              <w:ind w:left="2160" w:hanging="2160"/>
              <w:rPr>
                <w:sz w:val="20"/>
                <w:szCs w:val="20"/>
              </w:rPr>
            </w:pPr>
            <w:r w:rsidRPr="00586505">
              <w:rPr>
                <w:sz w:val="20"/>
                <w:szCs w:val="20"/>
              </w:rPr>
              <w:t xml:space="preserve">Project Period: </w:t>
            </w:r>
            <w:r w:rsidRPr="00586505">
              <w:rPr>
                <w:sz w:val="20"/>
                <w:szCs w:val="20"/>
              </w:rPr>
              <w:tab/>
            </w:r>
            <w:r w:rsidR="00FB41B3">
              <w:rPr>
                <w:sz w:val="20"/>
                <w:szCs w:val="20"/>
              </w:rPr>
              <w:tab/>
            </w:r>
            <w:r w:rsidR="00266610">
              <w:rPr>
                <w:sz w:val="20"/>
                <w:szCs w:val="20"/>
              </w:rPr>
              <w:t>15</w:t>
            </w:r>
            <w:r w:rsidR="00685DEE">
              <w:rPr>
                <w:sz w:val="20"/>
                <w:szCs w:val="20"/>
              </w:rPr>
              <w:t xml:space="preserve"> months</w:t>
            </w:r>
          </w:p>
          <w:p w:rsidR="007242BB" w:rsidRPr="00586505" w:rsidRDefault="00BB12B0" w:rsidP="00F916CA">
            <w:pPr>
              <w:spacing w:after="0" w:line="240" w:lineRule="auto"/>
              <w:rPr>
                <w:sz w:val="20"/>
                <w:szCs w:val="20"/>
              </w:rPr>
            </w:pPr>
            <w:r>
              <w:rPr>
                <w:sz w:val="20"/>
                <w:szCs w:val="20"/>
              </w:rPr>
              <w:t xml:space="preserve">Key Result Area </w:t>
            </w:r>
            <w:r w:rsidRPr="00586505">
              <w:rPr>
                <w:sz w:val="20"/>
                <w:szCs w:val="20"/>
              </w:rPr>
              <w:t>(Strategic Plan)</w:t>
            </w:r>
            <w:r>
              <w:rPr>
                <w:sz w:val="20"/>
                <w:szCs w:val="20"/>
              </w:rPr>
              <w:t xml:space="preserve">:      </w:t>
            </w:r>
            <w:r w:rsidR="00825C24">
              <w:rPr>
                <w:sz w:val="20"/>
                <w:szCs w:val="20"/>
              </w:rPr>
              <w:t xml:space="preserve">Inclusive and </w:t>
            </w:r>
            <w:r w:rsidR="00F52CFC">
              <w:rPr>
                <w:sz w:val="20"/>
                <w:szCs w:val="20"/>
              </w:rPr>
              <w:t xml:space="preserve">                                   </w:t>
            </w:r>
            <w:r w:rsidR="00825C24">
              <w:rPr>
                <w:sz w:val="20"/>
                <w:szCs w:val="20"/>
              </w:rPr>
              <w:t>Effective Democratic Governance (</w:t>
            </w:r>
            <w:r w:rsidR="00266610">
              <w:rPr>
                <w:sz w:val="20"/>
                <w:szCs w:val="20"/>
              </w:rPr>
              <w:t>Outcome</w:t>
            </w:r>
            <w:r w:rsidR="00BD4624">
              <w:rPr>
                <w:sz w:val="20"/>
                <w:szCs w:val="20"/>
              </w:rPr>
              <w:t>s</w:t>
            </w:r>
            <w:r w:rsidR="00266610">
              <w:rPr>
                <w:sz w:val="20"/>
                <w:szCs w:val="20"/>
              </w:rPr>
              <w:t xml:space="preserve"> 2</w:t>
            </w:r>
            <w:r w:rsidR="0028665E">
              <w:rPr>
                <w:sz w:val="20"/>
                <w:szCs w:val="20"/>
              </w:rPr>
              <w:t>, 3</w:t>
            </w:r>
            <w:r w:rsidR="00266610">
              <w:rPr>
                <w:sz w:val="20"/>
                <w:szCs w:val="20"/>
              </w:rPr>
              <w:t xml:space="preserve"> &amp;</w:t>
            </w:r>
            <w:r w:rsidR="00BD4624">
              <w:rPr>
                <w:sz w:val="20"/>
                <w:szCs w:val="20"/>
              </w:rPr>
              <w:t xml:space="preserve"> </w:t>
            </w:r>
            <w:r w:rsidR="00825C24">
              <w:rPr>
                <w:sz w:val="20"/>
                <w:szCs w:val="20"/>
              </w:rPr>
              <w:t>5)</w:t>
            </w:r>
          </w:p>
          <w:p w:rsidR="009C5DCB" w:rsidRDefault="009C5DCB" w:rsidP="00F916CA">
            <w:pPr>
              <w:pStyle w:val="FootnoteText"/>
            </w:pPr>
            <w:r w:rsidRPr="005B6055">
              <w:rPr>
                <w:highlight w:val="yellow"/>
              </w:rPr>
              <w:t>Atlas Award ID:</w:t>
            </w:r>
            <w:r w:rsidRPr="00586505">
              <w:tab/>
            </w:r>
          </w:p>
          <w:p w:rsidR="007242BB" w:rsidRPr="00586505" w:rsidRDefault="007242BB" w:rsidP="00F916CA">
            <w:pPr>
              <w:pStyle w:val="FootnoteText"/>
              <w:rPr>
                <w:lang w:val="en-GB"/>
              </w:rPr>
            </w:pPr>
            <w:r w:rsidRPr="00586505">
              <w:t>Start date:</w:t>
            </w:r>
            <w:r w:rsidRPr="00586505">
              <w:tab/>
            </w:r>
            <w:r w:rsidRPr="00586505">
              <w:tab/>
              <w:t xml:space="preserve">     </w:t>
            </w:r>
            <w:r w:rsidRPr="00586505">
              <w:tab/>
            </w:r>
            <w:r w:rsidR="00266610">
              <w:t xml:space="preserve">1 </w:t>
            </w:r>
            <w:r w:rsidR="00F237FB">
              <w:t>January</w:t>
            </w:r>
            <w:r w:rsidR="00685DEE">
              <w:t xml:space="preserve"> </w:t>
            </w:r>
            <w:r w:rsidRPr="00586505">
              <w:t xml:space="preserve"> 201</w:t>
            </w:r>
            <w:r w:rsidR="00F237FB">
              <w:t>6</w:t>
            </w:r>
          </w:p>
          <w:p w:rsidR="007242BB" w:rsidRPr="00586505" w:rsidRDefault="007242BB" w:rsidP="00F916CA">
            <w:pPr>
              <w:pStyle w:val="FootnoteText"/>
              <w:rPr>
                <w:lang w:val="en-GB"/>
              </w:rPr>
            </w:pPr>
            <w:r w:rsidRPr="00586505">
              <w:t>End Date</w:t>
            </w:r>
            <w:r w:rsidRPr="00586505">
              <w:tab/>
            </w:r>
            <w:r w:rsidRPr="00586505">
              <w:tab/>
            </w:r>
            <w:r w:rsidRPr="00586505">
              <w:rPr>
                <w:lang w:val="en-GB"/>
              </w:rPr>
              <w:tab/>
            </w:r>
            <w:r w:rsidR="00266610">
              <w:rPr>
                <w:lang w:val="en-GB"/>
              </w:rPr>
              <w:t xml:space="preserve">31 </w:t>
            </w:r>
            <w:r w:rsidR="00F237FB">
              <w:rPr>
                <w:lang w:val="en-GB"/>
              </w:rPr>
              <w:t>March</w:t>
            </w:r>
            <w:r w:rsidR="00685DEE">
              <w:rPr>
                <w:lang w:val="en-GB"/>
              </w:rPr>
              <w:t xml:space="preserve"> </w:t>
            </w:r>
            <w:r w:rsidRPr="00586505">
              <w:t>201</w:t>
            </w:r>
            <w:r w:rsidR="00F237FB">
              <w:t>7</w:t>
            </w:r>
          </w:p>
          <w:p w:rsidR="007242BB" w:rsidRPr="00586505" w:rsidRDefault="009C5DCB" w:rsidP="00F916CA">
            <w:pPr>
              <w:pStyle w:val="FootnoteText"/>
              <w:rPr>
                <w:lang w:val="en-GB"/>
              </w:rPr>
            </w:pPr>
            <w:r w:rsidRPr="005B6055">
              <w:rPr>
                <w:highlight w:val="yellow"/>
              </w:rPr>
              <w:t>B</w:t>
            </w:r>
            <w:r w:rsidR="007242BB" w:rsidRPr="005B6055">
              <w:rPr>
                <w:highlight w:val="yellow"/>
              </w:rPr>
              <w:t>PAC Meeting Date</w:t>
            </w:r>
            <w:r w:rsidR="007242BB" w:rsidRPr="005B6055">
              <w:rPr>
                <w:highlight w:val="yellow"/>
              </w:rPr>
              <w:tab/>
            </w:r>
            <w:r w:rsidR="007242BB" w:rsidRPr="005B6055">
              <w:rPr>
                <w:highlight w:val="yellow"/>
              </w:rPr>
              <w:tab/>
            </w:r>
            <w:r w:rsidR="00685DEE" w:rsidRPr="005B6055">
              <w:rPr>
                <w:highlight w:val="yellow"/>
              </w:rPr>
              <w:t xml:space="preserve">xx </w:t>
            </w:r>
            <w:r w:rsidR="00F237FB" w:rsidRPr="005B6055">
              <w:rPr>
                <w:highlight w:val="yellow"/>
              </w:rPr>
              <w:t>xx</w:t>
            </w:r>
            <w:r w:rsidR="00685DEE" w:rsidRPr="005B6055">
              <w:rPr>
                <w:highlight w:val="yellow"/>
              </w:rPr>
              <w:t xml:space="preserve"> 2015</w:t>
            </w:r>
          </w:p>
          <w:p w:rsidR="008C3ABE" w:rsidRPr="00586505" w:rsidRDefault="007242BB" w:rsidP="00F916CA">
            <w:pPr>
              <w:pStyle w:val="FootnoteText"/>
              <w:ind w:left="2880" w:hanging="2880"/>
              <w:rPr>
                <w:lang w:val="en-GB"/>
              </w:rPr>
            </w:pPr>
            <w:r w:rsidRPr="00586505">
              <w:t>Management Arrangements</w:t>
            </w:r>
            <w:r w:rsidRPr="00586505">
              <w:rPr>
                <w:lang w:val="en-GB"/>
              </w:rPr>
              <w:tab/>
              <w:t>DIM</w:t>
            </w:r>
          </w:p>
        </w:tc>
        <w:tc>
          <w:tcPr>
            <w:tcW w:w="4820" w:type="dxa"/>
            <w:vAlign w:val="center"/>
          </w:tcPr>
          <w:p w:rsidR="007242BB" w:rsidRPr="00586505" w:rsidRDefault="007242BB" w:rsidP="00F916CA">
            <w:pPr>
              <w:spacing w:line="240" w:lineRule="auto"/>
              <w:rPr>
                <w:sz w:val="20"/>
              </w:rPr>
            </w:pPr>
            <w:r w:rsidRPr="00586505">
              <w:rPr>
                <w:sz w:val="20"/>
              </w:rPr>
              <w:t xml:space="preserve">Total resources required           </w:t>
            </w:r>
            <w:r w:rsidRPr="00586505">
              <w:rPr>
                <w:sz w:val="20"/>
              </w:rPr>
              <w:tab/>
              <w:t>US</w:t>
            </w:r>
            <w:r w:rsidR="00664D6D">
              <w:rPr>
                <w:sz w:val="20"/>
              </w:rPr>
              <w:t>D</w:t>
            </w:r>
            <w:r w:rsidRPr="00586505">
              <w:rPr>
                <w:sz w:val="20"/>
              </w:rPr>
              <w:t xml:space="preserve"> $ </w:t>
            </w:r>
            <w:r w:rsidR="00EE2B60">
              <w:rPr>
                <w:sz w:val="20"/>
              </w:rPr>
              <w:t>320,000</w:t>
            </w:r>
          </w:p>
          <w:p w:rsidR="007242BB" w:rsidRPr="00586505" w:rsidRDefault="007242BB" w:rsidP="00F916CA">
            <w:pPr>
              <w:spacing w:line="240" w:lineRule="auto"/>
              <w:rPr>
                <w:sz w:val="20"/>
              </w:rPr>
            </w:pPr>
            <w:r w:rsidRPr="00586505">
              <w:rPr>
                <w:sz w:val="20"/>
              </w:rPr>
              <w:t>Total allocated resources:</w:t>
            </w:r>
          </w:p>
          <w:p w:rsidR="00822073" w:rsidRPr="00822073" w:rsidRDefault="00822073" w:rsidP="00F916CA">
            <w:pPr>
              <w:numPr>
                <w:ilvl w:val="0"/>
                <w:numId w:val="14"/>
              </w:numPr>
              <w:tabs>
                <w:tab w:val="clear" w:pos="1080"/>
                <w:tab w:val="num" w:pos="720"/>
              </w:tabs>
              <w:spacing w:after="0" w:line="240" w:lineRule="auto"/>
              <w:ind w:left="360"/>
            </w:pPr>
            <w:r>
              <w:rPr>
                <w:sz w:val="20"/>
              </w:rPr>
              <w:t xml:space="preserve">BPPS </w:t>
            </w:r>
            <w:r w:rsidR="00045CA0">
              <w:rPr>
                <w:sz w:val="20"/>
              </w:rPr>
              <w:t xml:space="preserve">– Dutch SSR contribution: </w:t>
            </w:r>
            <w:r w:rsidR="00664D6D">
              <w:rPr>
                <w:sz w:val="20"/>
              </w:rPr>
              <w:t xml:space="preserve">USD </w:t>
            </w:r>
            <w:r>
              <w:rPr>
                <w:sz w:val="20"/>
              </w:rPr>
              <w:t>$</w:t>
            </w:r>
            <w:r w:rsidR="00045CA0">
              <w:rPr>
                <w:sz w:val="20"/>
              </w:rPr>
              <w:t xml:space="preserve"> </w:t>
            </w:r>
            <w:r w:rsidR="009A46AC">
              <w:rPr>
                <w:sz w:val="20"/>
              </w:rPr>
              <w:t>2</w:t>
            </w:r>
            <w:r w:rsidR="00045CA0">
              <w:rPr>
                <w:sz w:val="20"/>
              </w:rPr>
              <w:t>00.000</w:t>
            </w:r>
            <w:r w:rsidR="007242BB" w:rsidRPr="00586505">
              <w:rPr>
                <w:sz w:val="20"/>
              </w:rPr>
              <w:tab/>
            </w:r>
          </w:p>
          <w:p w:rsidR="00EE2B60" w:rsidRPr="00EE2B60" w:rsidRDefault="00822073" w:rsidP="00F916CA">
            <w:pPr>
              <w:numPr>
                <w:ilvl w:val="0"/>
                <w:numId w:val="14"/>
              </w:numPr>
              <w:tabs>
                <w:tab w:val="clear" w:pos="1080"/>
                <w:tab w:val="num" w:pos="720"/>
              </w:tabs>
              <w:spacing w:after="0" w:line="240" w:lineRule="auto"/>
              <w:ind w:left="360"/>
            </w:pPr>
            <w:r>
              <w:rPr>
                <w:sz w:val="20"/>
              </w:rPr>
              <w:t>Other Donor(s)                             TBC</w:t>
            </w:r>
            <w:r w:rsidR="007242BB" w:rsidRPr="00586505">
              <w:rPr>
                <w:sz w:val="20"/>
              </w:rPr>
              <w:tab/>
            </w:r>
          </w:p>
          <w:p w:rsidR="007242BB" w:rsidRPr="00586505" w:rsidRDefault="007242BB" w:rsidP="00EE2B60">
            <w:pPr>
              <w:spacing w:after="0" w:line="240" w:lineRule="auto"/>
              <w:ind w:left="360"/>
            </w:pPr>
            <w:r w:rsidRPr="00586505">
              <w:rPr>
                <w:sz w:val="20"/>
              </w:rPr>
              <w:tab/>
              <w:t xml:space="preserve"> </w:t>
            </w:r>
          </w:p>
          <w:p w:rsidR="007242BB" w:rsidRPr="00586505" w:rsidRDefault="00EE2B60" w:rsidP="00F916CA">
            <w:pPr>
              <w:spacing w:line="240" w:lineRule="auto"/>
              <w:rPr>
                <w:sz w:val="20"/>
              </w:rPr>
            </w:pPr>
            <w:r>
              <w:rPr>
                <w:sz w:val="20"/>
              </w:rPr>
              <w:t xml:space="preserve"> In Kind:   ISSAT / DCAF, DPKO, UNDP Global RoL</w:t>
            </w:r>
          </w:p>
          <w:p w:rsidR="008C3ABE" w:rsidRPr="00586505" w:rsidRDefault="008C3ABE" w:rsidP="00F916CA">
            <w:pPr>
              <w:spacing w:line="240" w:lineRule="auto"/>
              <w:rPr>
                <w:sz w:val="20"/>
                <w:szCs w:val="20"/>
                <w:lang w:val="en-GB"/>
              </w:rPr>
            </w:pPr>
          </w:p>
        </w:tc>
      </w:tr>
    </w:tbl>
    <w:p w:rsidR="009C5DCB" w:rsidRDefault="009C5DCB" w:rsidP="009C5DCB">
      <w:pPr>
        <w:pBdr>
          <w:bottom w:val="single" w:sz="4" w:space="1" w:color="auto"/>
        </w:pBdr>
        <w:spacing w:after="60" w:line="240" w:lineRule="auto"/>
        <w:jc w:val="both"/>
        <w:rPr>
          <w:sz w:val="20"/>
          <w:szCs w:val="20"/>
          <w:lang w:val="en-GB"/>
        </w:rPr>
      </w:pPr>
    </w:p>
    <w:p w:rsidR="007242BB" w:rsidRPr="00586505" w:rsidRDefault="007242BB" w:rsidP="009C5DCB">
      <w:pPr>
        <w:pBdr>
          <w:bottom w:val="single" w:sz="4" w:space="1" w:color="auto"/>
        </w:pBdr>
        <w:spacing w:after="60" w:line="240" w:lineRule="auto"/>
        <w:jc w:val="both"/>
        <w:rPr>
          <w:sz w:val="20"/>
          <w:szCs w:val="20"/>
          <w:lang w:val="en-GB"/>
        </w:rPr>
      </w:pPr>
      <w:r w:rsidRPr="00586505">
        <w:rPr>
          <w:sz w:val="20"/>
          <w:szCs w:val="20"/>
          <w:lang w:val="en-GB"/>
        </w:rPr>
        <w:t>Agreed by UNDP:</w:t>
      </w:r>
      <w:r w:rsidR="00685DEE">
        <w:rPr>
          <w:sz w:val="20"/>
          <w:szCs w:val="20"/>
          <w:lang w:val="en-GB"/>
        </w:rPr>
        <w:t xml:space="preserve"> Mr Peter Batchelor, Manager, UNDP Pacific Centre</w:t>
      </w:r>
    </w:p>
    <w:p w:rsidR="00586505" w:rsidRPr="00586505" w:rsidRDefault="00586505" w:rsidP="004E000A">
      <w:pPr>
        <w:pBdr>
          <w:bottom w:val="single" w:sz="4" w:space="1" w:color="auto"/>
        </w:pBdr>
        <w:spacing w:after="60" w:line="240" w:lineRule="auto"/>
        <w:jc w:val="both"/>
        <w:rPr>
          <w:rFonts w:eastAsia="Times New Roman" w:cs="Times New Roman"/>
          <w:b/>
          <w:sz w:val="24"/>
          <w:szCs w:val="24"/>
          <w:lang w:val="en-GB"/>
        </w:rPr>
      </w:pPr>
      <w:r w:rsidRPr="00586505">
        <w:rPr>
          <w:rFonts w:eastAsia="Times New Roman" w:cs="Times New Roman"/>
          <w:b/>
          <w:sz w:val="24"/>
          <w:szCs w:val="24"/>
          <w:lang w:val="en-GB"/>
        </w:rPr>
        <w:br w:type="page"/>
      </w:r>
    </w:p>
    <w:p w:rsidR="00FD321E" w:rsidRPr="00002D30" w:rsidRDefault="00002D30" w:rsidP="00F916CA">
      <w:pPr>
        <w:pStyle w:val="ListParagraph"/>
        <w:numPr>
          <w:ilvl w:val="0"/>
          <w:numId w:val="32"/>
        </w:numPr>
        <w:tabs>
          <w:tab w:val="left" w:pos="930"/>
        </w:tabs>
        <w:spacing w:after="60" w:line="276" w:lineRule="auto"/>
        <w:jc w:val="both"/>
        <w:rPr>
          <w:rFonts w:eastAsia="Times New Roman" w:cs="Times New Roman"/>
          <w:b/>
          <w:sz w:val="24"/>
          <w:szCs w:val="24"/>
          <w:lang w:val="en-GB"/>
        </w:rPr>
      </w:pPr>
      <w:r w:rsidRPr="00002D30">
        <w:rPr>
          <w:rFonts w:eastAsia="Times New Roman" w:cs="Times New Roman"/>
          <w:b/>
          <w:sz w:val="24"/>
          <w:szCs w:val="24"/>
          <w:lang w:val="en-GB"/>
        </w:rPr>
        <w:t xml:space="preserve"> </w:t>
      </w:r>
      <w:r w:rsidR="00FD321E" w:rsidRPr="00002D30">
        <w:rPr>
          <w:rFonts w:eastAsia="Times New Roman" w:cs="Times New Roman"/>
          <w:b/>
          <w:sz w:val="24"/>
          <w:szCs w:val="24"/>
          <w:lang w:val="en-GB"/>
        </w:rPr>
        <w:t>S</w:t>
      </w:r>
      <w:r w:rsidR="00317EBB">
        <w:rPr>
          <w:rFonts w:eastAsia="Times New Roman" w:cs="Times New Roman"/>
          <w:b/>
          <w:sz w:val="24"/>
          <w:szCs w:val="24"/>
          <w:lang w:val="en-GB"/>
        </w:rPr>
        <w:t>ITUATION ANALYSIS</w:t>
      </w:r>
    </w:p>
    <w:p w:rsidR="002153DC" w:rsidRPr="00586505" w:rsidRDefault="002153DC" w:rsidP="00F916CA">
      <w:pPr>
        <w:spacing w:line="276" w:lineRule="auto"/>
        <w:jc w:val="both"/>
        <w:rPr>
          <w:rFonts w:eastAsia="Times New Roman" w:cs="Times New Roman"/>
          <w:b/>
          <w:sz w:val="24"/>
          <w:szCs w:val="24"/>
          <w:lang w:val="en-GB"/>
        </w:rPr>
      </w:pPr>
    </w:p>
    <w:p w:rsidR="002153DC" w:rsidRPr="00586505" w:rsidRDefault="00002D30" w:rsidP="00F916CA">
      <w:pPr>
        <w:pStyle w:val="ListParagraph"/>
        <w:numPr>
          <w:ilvl w:val="0"/>
          <w:numId w:val="25"/>
        </w:numPr>
        <w:spacing w:line="276" w:lineRule="auto"/>
        <w:jc w:val="both"/>
        <w:rPr>
          <w:rFonts w:eastAsia="Times New Roman" w:cs="Times New Roman"/>
          <w:b/>
          <w:sz w:val="24"/>
          <w:szCs w:val="24"/>
          <w:lang w:val="en-GB"/>
        </w:rPr>
      </w:pPr>
      <w:r>
        <w:rPr>
          <w:rFonts w:eastAsia="Times New Roman" w:cs="Times New Roman"/>
          <w:b/>
          <w:sz w:val="24"/>
          <w:szCs w:val="24"/>
          <w:lang w:val="en-GB"/>
        </w:rPr>
        <w:t>Background</w:t>
      </w:r>
    </w:p>
    <w:p w:rsidR="009B64E3" w:rsidRDefault="00DD36DD" w:rsidP="00F916CA">
      <w:pPr>
        <w:spacing w:line="276" w:lineRule="auto"/>
        <w:jc w:val="both"/>
        <w:rPr>
          <w:rFonts w:cs="Arial"/>
        </w:rPr>
      </w:pPr>
      <w:r>
        <w:rPr>
          <w:rFonts w:cs="Arial"/>
        </w:rPr>
        <w:t>T</w:t>
      </w:r>
      <w:r w:rsidR="0088062A">
        <w:rPr>
          <w:rFonts w:cs="Arial"/>
        </w:rPr>
        <w:t>he promotion of peaceful and inclusive societies for sustainable development and the building of effective, accountab</w:t>
      </w:r>
      <w:r w:rsidR="009B64E3">
        <w:rPr>
          <w:rFonts w:cs="Arial"/>
        </w:rPr>
        <w:t>le and inclusive institutions at</w:t>
      </w:r>
      <w:r w:rsidR="0088062A">
        <w:rPr>
          <w:rFonts w:cs="Arial"/>
        </w:rPr>
        <w:t xml:space="preserve"> all levels</w:t>
      </w:r>
      <w:r>
        <w:rPr>
          <w:rFonts w:cs="Arial"/>
        </w:rPr>
        <w:t xml:space="preserve"> envisaged under Sustainable Development Goal 16</w:t>
      </w:r>
      <w:r w:rsidR="0088062A">
        <w:rPr>
          <w:rFonts w:cs="Arial"/>
        </w:rPr>
        <w:t xml:space="preserve"> is directly impacted by s</w:t>
      </w:r>
      <w:r w:rsidR="002153DC" w:rsidRPr="00586505">
        <w:rPr>
          <w:rFonts w:cs="Arial"/>
        </w:rPr>
        <w:t>ecurity challenges facing Pacific</w:t>
      </w:r>
      <w:r w:rsidR="004F1CBB">
        <w:rPr>
          <w:rFonts w:cs="Arial"/>
        </w:rPr>
        <w:t xml:space="preserve"> Island</w:t>
      </w:r>
      <w:r w:rsidR="002153DC" w:rsidRPr="00586505">
        <w:rPr>
          <w:rFonts w:cs="Arial"/>
        </w:rPr>
        <w:t xml:space="preserve"> Countries </w:t>
      </w:r>
      <w:r w:rsidR="004F1CBB">
        <w:rPr>
          <w:rFonts w:cs="Arial"/>
        </w:rPr>
        <w:t>(PICs)</w:t>
      </w:r>
      <w:r w:rsidR="0088062A">
        <w:rPr>
          <w:rFonts w:cs="Arial"/>
        </w:rPr>
        <w:t xml:space="preserve">. </w:t>
      </w:r>
      <w:r w:rsidR="009B64E3">
        <w:rPr>
          <w:rFonts w:cs="Arial"/>
        </w:rPr>
        <w:t xml:space="preserve"> PIC leaders already acknowledged this link in August 2014 through approving  a set of guiding principles to enhance  security sector governance </w:t>
      </w:r>
      <w:r w:rsidR="0080017B">
        <w:rPr>
          <w:rFonts w:cs="Arial"/>
        </w:rPr>
        <w:t xml:space="preserve">(detailed at Annex 3) </w:t>
      </w:r>
      <w:r w:rsidR="009B64E3">
        <w:rPr>
          <w:rFonts w:cs="Arial"/>
        </w:rPr>
        <w:t>with the first principle being that ‘the provision of security is a core responsibility of government and provides a fundamental basis for the economic, social and political development of our nations’.</w:t>
      </w:r>
      <w:r w:rsidR="0015670D">
        <w:rPr>
          <w:rFonts w:cs="Arial"/>
        </w:rPr>
        <w:t xml:space="preserve">   </w:t>
      </w:r>
      <w:r w:rsidR="0015670D">
        <w:rPr>
          <w:rFonts w:eastAsia="Times New Roman" w:cs="Times New Roman"/>
        </w:rPr>
        <w:t>T</w:t>
      </w:r>
      <w:r w:rsidR="0015670D" w:rsidRPr="00586505">
        <w:rPr>
          <w:rFonts w:eastAsia="Times New Roman" w:cs="Times New Roman"/>
        </w:rPr>
        <w:t xml:space="preserve">he challenges to Security Sector Governance (SSG) work in the Pacific are many and varied. </w:t>
      </w:r>
      <w:r w:rsidR="0015670D" w:rsidRPr="00586505">
        <w:rPr>
          <w:rFonts w:eastAsia="Times New Roman" w:cs="Times New Roman"/>
          <w:lang w:val="en-GB"/>
        </w:rPr>
        <w:t>S</w:t>
      </w:r>
      <w:r w:rsidR="0015670D">
        <w:rPr>
          <w:rFonts w:eastAsia="Times New Roman" w:cs="Times New Roman"/>
          <w:lang w:val="en-GB"/>
        </w:rPr>
        <w:t>SG</w:t>
      </w:r>
      <w:r w:rsidR="0015670D" w:rsidRPr="00586505">
        <w:rPr>
          <w:rFonts w:eastAsia="Times New Roman" w:cs="Times New Roman"/>
          <w:lang w:val="en-GB"/>
        </w:rPr>
        <w:t xml:space="preserve"> in the Pacific context, basically refers to approaches to be adopted to ensure that security sector institutions (Police, Military, Corrections Services, Intelligence agencies, Immigration and Customs) are accountable to laws, democratic oversight and checks and balances, rather than subject to the discretion of individual commanders or police chiefs. Impunity in the security sector weakens legitimacy and perpetuates human rights violations. Democratic Governance of the security sector strengthens the rule of law, which is a fundamental requirement for citizen’s safety, trust and legitimacy all of which underpins effective state building</w:t>
      </w:r>
      <w:r w:rsidR="00524FCF">
        <w:rPr>
          <w:rFonts w:eastAsia="Times New Roman" w:cs="Times New Roman"/>
          <w:lang w:val="en-GB"/>
        </w:rPr>
        <w:t xml:space="preserve"> and sustainable development.</w:t>
      </w:r>
    </w:p>
    <w:p w:rsidR="002153DC" w:rsidRDefault="0064693A" w:rsidP="00F916CA">
      <w:pPr>
        <w:spacing w:line="276" w:lineRule="auto"/>
        <w:jc w:val="both"/>
        <w:rPr>
          <w:rFonts w:cs="Arial"/>
        </w:rPr>
      </w:pPr>
      <w:r w:rsidRPr="00586505">
        <w:rPr>
          <w:rFonts w:eastAsia="Times New Roman" w:cs="Times New Roman"/>
        </w:rPr>
        <w:t>The PICs have also experienced a variety of conflicts and in some areas general deterioration of the rule of law. Papua New Guinea (PNG) had a conflict over mining resources where grievances led to conflict lasting over a decade. Since Independence, Fiji has gone through a series of poli</w:t>
      </w:r>
      <w:r>
        <w:rPr>
          <w:rFonts w:eastAsia="Times New Roman" w:cs="Times New Roman"/>
        </w:rPr>
        <w:t>tical and security challenges with e</w:t>
      </w:r>
      <w:r w:rsidRPr="00586505">
        <w:rPr>
          <w:rFonts w:eastAsia="Times New Roman" w:cs="Times New Roman"/>
        </w:rPr>
        <w:t xml:space="preserve">lections held on the 17 September </w:t>
      </w:r>
      <w:r>
        <w:rPr>
          <w:rFonts w:eastAsia="Times New Roman" w:cs="Times New Roman"/>
        </w:rPr>
        <w:t xml:space="preserve">2014 </w:t>
      </w:r>
      <w:r w:rsidR="009B64E3">
        <w:rPr>
          <w:rFonts w:eastAsia="Times New Roman" w:cs="Times New Roman"/>
        </w:rPr>
        <w:t xml:space="preserve">now </w:t>
      </w:r>
      <w:r>
        <w:rPr>
          <w:rFonts w:eastAsia="Times New Roman" w:cs="Times New Roman"/>
        </w:rPr>
        <w:t xml:space="preserve">providing a democratically elected government.  </w:t>
      </w:r>
      <w:r w:rsidRPr="00586505">
        <w:rPr>
          <w:rFonts w:eastAsia="Times New Roman" w:cs="Times New Roman"/>
        </w:rPr>
        <w:t xml:space="preserve">Solomon Islands had tensions in 2000 between </w:t>
      </w:r>
      <w:r w:rsidR="009B64E3" w:rsidRPr="00586505">
        <w:rPr>
          <w:rFonts w:eastAsia="Times New Roman" w:cs="Times New Roman"/>
        </w:rPr>
        <w:t xml:space="preserve">Guadalcanal </w:t>
      </w:r>
      <w:r w:rsidR="009B64E3">
        <w:rPr>
          <w:rFonts w:eastAsia="Times New Roman" w:cs="Times New Roman"/>
        </w:rPr>
        <w:t>and Malaita</w:t>
      </w:r>
      <w:r w:rsidRPr="00586505">
        <w:rPr>
          <w:rFonts w:eastAsia="Times New Roman" w:cs="Times New Roman"/>
        </w:rPr>
        <w:t xml:space="preserve"> which saw the complete breakdown of the rule of law thus warranting a regional intervention in the form of a Regional Assistance Mission for Solomon Islands in 2003</w:t>
      </w:r>
      <w:r w:rsidR="009B64E3">
        <w:rPr>
          <w:rFonts w:eastAsia="Times New Roman" w:cs="Times New Roman"/>
        </w:rPr>
        <w:t xml:space="preserve"> that is still ongoing</w:t>
      </w:r>
      <w:r w:rsidRPr="00586505">
        <w:rPr>
          <w:rFonts w:eastAsia="Times New Roman" w:cs="Times New Roman"/>
        </w:rPr>
        <w:t xml:space="preserve">. </w:t>
      </w:r>
      <w:r>
        <w:rPr>
          <w:rFonts w:eastAsia="Times New Roman" w:cs="Times New Roman"/>
        </w:rPr>
        <w:t xml:space="preserve"> </w:t>
      </w:r>
      <w:r w:rsidRPr="00586505">
        <w:rPr>
          <w:rFonts w:eastAsia="Times New Roman" w:cs="Times New Roman"/>
        </w:rPr>
        <w:t>New Caledonia and Vanuatu have also seen some security upheavals as was the case in Marshall Islands and Tonga.</w:t>
      </w:r>
      <w:r>
        <w:rPr>
          <w:rFonts w:eastAsia="Times New Roman" w:cs="Times New Roman"/>
        </w:rPr>
        <w:t xml:space="preserve">  In addition, </w:t>
      </w:r>
      <w:r>
        <w:rPr>
          <w:rFonts w:cs="Arial"/>
        </w:rPr>
        <w:t>whilst other security challenges vary depending on the specific country, other s</w:t>
      </w:r>
      <w:r w:rsidR="0088062A">
        <w:rPr>
          <w:rFonts w:cs="Arial"/>
        </w:rPr>
        <w:t>ecurity challenges</w:t>
      </w:r>
      <w:r>
        <w:rPr>
          <w:rFonts w:cs="Arial"/>
        </w:rPr>
        <w:t xml:space="preserve"> have</w:t>
      </w:r>
      <w:r w:rsidR="004F1CBB">
        <w:rPr>
          <w:rFonts w:cs="Arial"/>
        </w:rPr>
        <w:t xml:space="preserve"> </w:t>
      </w:r>
      <w:r w:rsidR="002153DC" w:rsidRPr="00586505">
        <w:rPr>
          <w:rFonts w:cs="Arial"/>
        </w:rPr>
        <w:t>include</w:t>
      </w:r>
      <w:r>
        <w:rPr>
          <w:rFonts w:cs="Arial"/>
        </w:rPr>
        <w:t>d</w:t>
      </w:r>
      <w:r w:rsidR="002153DC" w:rsidRPr="00586505">
        <w:rPr>
          <w:rFonts w:cs="Arial"/>
        </w:rPr>
        <w:t xml:space="preserve"> non-traditional </w:t>
      </w:r>
      <w:r>
        <w:rPr>
          <w:rFonts w:cs="Arial"/>
        </w:rPr>
        <w:t xml:space="preserve">internal and external </w:t>
      </w:r>
      <w:r w:rsidR="002153DC" w:rsidRPr="00586505">
        <w:rPr>
          <w:rFonts w:cs="Arial"/>
        </w:rPr>
        <w:t>security threats such as transn</w:t>
      </w:r>
      <w:r w:rsidR="00C2279A">
        <w:rPr>
          <w:rFonts w:cs="Arial"/>
        </w:rPr>
        <w:t xml:space="preserve">ational crimes, food security, </w:t>
      </w:r>
      <w:r w:rsidR="002153DC" w:rsidRPr="00586505">
        <w:rPr>
          <w:rFonts w:cs="Arial"/>
        </w:rPr>
        <w:t>sexual and gender based vio</w:t>
      </w:r>
      <w:r w:rsidR="00C2279A">
        <w:rPr>
          <w:rFonts w:cs="Arial"/>
        </w:rPr>
        <w:t xml:space="preserve">lence, </w:t>
      </w:r>
      <w:r w:rsidR="0088062A">
        <w:rPr>
          <w:rFonts w:cs="Arial"/>
        </w:rPr>
        <w:t xml:space="preserve">impacts of </w:t>
      </w:r>
      <w:r w:rsidR="00C2279A">
        <w:rPr>
          <w:rFonts w:cs="Arial"/>
        </w:rPr>
        <w:t xml:space="preserve">climate change, disasters, land related conflicts, </w:t>
      </w:r>
      <w:r w:rsidR="002153DC" w:rsidRPr="00586505">
        <w:rPr>
          <w:rFonts w:cs="Arial"/>
        </w:rPr>
        <w:t>violat</w:t>
      </w:r>
      <w:r w:rsidR="00C2279A">
        <w:rPr>
          <w:rFonts w:cs="Arial"/>
        </w:rPr>
        <w:t>ions of human rights</w:t>
      </w:r>
      <w:r>
        <w:rPr>
          <w:rFonts w:cs="Arial"/>
        </w:rPr>
        <w:t>, rapid urbanization</w:t>
      </w:r>
      <w:r w:rsidR="00C2279A">
        <w:rPr>
          <w:rFonts w:cs="Arial"/>
        </w:rPr>
        <w:t xml:space="preserve"> and weak</w:t>
      </w:r>
      <w:r w:rsidR="002153DC" w:rsidRPr="00586505">
        <w:rPr>
          <w:rFonts w:cs="Arial"/>
        </w:rPr>
        <w:t xml:space="preserve"> governance. </w:t>
      </w:r>
    </w:p>
    <w:p w:rsidR="0015670D" w:rsidRDefault="0015670D" w:rsidP="0015670D">
      <w:pPr>
        <w:spacing w:line="276" w:lineRule="auto"/>
        <w:jc w:val="both"/>
        <w:rPr>
          <w:rFonts w:eastAsia="Times New Roman" w:cs="Times New Roman"/>
        </w:rPr>
      </w:pPr>
      <w:r w:rsidRPr="00586505">
        <w:rPr>
          <w:rFonts w:eastAsia="Times New Roman" w:cs="Times New Roman"/>
        </w:rPr>
        <w:t>Peace and stability in the Pacific has been hamstrung by weak governance institutions</w:t>
      </w:r>
      <w:r>
        <w:rPr>
          <w:rFonts w:eastAsia="Times New Roman" w:cs="Times New Roman"/>
        </w:rPr>
        <w:t xml:space="preserve"> and </w:t>
      </w:r>
      <w:r w:rsidRPr="00586505">
        <w:rPr>
          <w:rFonts w:eastAsia="Times New Roman" w:cs="Times New Roman"/>
        </w:rPr>
        <w:t xml:space="preserve">poor delivery of services by state security actors. </w:t>
      </w:r>
      <w:r w:rsidRPr="0080017B">
        <w:rPr>
          <w:rFonts w:eastAsia="Times New Roman" w:cs="Times New Roman"/>
        </w:rPr>
        <w:t>Political clientelism</w:t>
      </w:r>
      <w:r w:rsidRPr="00586505">
        <w:rPr>
          <w:rFonts w:eastAsia="Times New Roman" w:cs="Times New Roman"/>
        </w:rPr>
        <w:t xml:space="preserve"> and patronage have often underpinned bad governance, with its attendant consequences. </w:t>
      </w:r>
      <w:r w:rsidRPr="00002D30">
        <w:rPr>
          <w:rFonts w:eastAsia="Times New Roman" w:cs="Times New Roman"/>
          <w:lang w:val="en-GB"/>
        </w:rPr>
        <w:t xml:space="preserve">The oversight of budgetary processes in most security sector institutions in the Pacific still continue to be a huge challenge that warrants a change of mind-set at the highest levels of  Government. </w:t>
      </w:r>
      <w:r w:rsidRPr="00586505">
        <w:rPr>
          <w:rFonts w:eastAsia="Times New Roman" w:cs="Times New Roman"/>
        </w:rPr>
        <w:t xml:space="preserve">The wave of political change in the Pacific </w:t>
      </w:r>
      <w:r w:rsidR="00524FCF">
        <w:rPr>
          <w:rFonts w:eastAsia="Times New Roman" w:cs="Times New Roman"/>
        </w:rPr>
        <w:t xml:space="preserve">in recent years </w:t>
      </w:r>
      <w:r w:rsidRPr="00586505">
        <w:rPr>
          <w:rFonts w:eastAsia="Times New Roman" w:cs="Times New Roman"/>
        </w:rPr>
        <w:t>has however seen democratic values and the rule of law being strengthened</w:t>
      </w:r>
      <w:r>
        <w:rPr>
          <w:rFonts w:eastAsia="Times New Roman" w:cs="Times New Roman"/>
        </w:rPr>
        <w:t xml:space="preserve"> with </w:t>
      </w:r>
      <w:r w:rsidR="00524FCF">
        <w:rPr>
          <w:rFonts w:eastAsia="Times New Roman" w:cs="Times New Roman"/>
        </w:rPr>
        <w:t xml:space="preserve">regular </w:t>
      </w:r>
      <w:r w:rsidRPr="00586505">
        <w:rPr>
          <w:rFonts w:eastAsia="Times New Roman" w:cs="Times New Roman"/>
        </w:rPr>
        <w:t>elections and</w:t>
      </w:r>
      <w:r>
        <w:rPr>
          <w:rFonts w:eastAsia="Times New Roman" w:cs="Times New Roman"/>
        </w:rPr>
        <w:t xml:space="preserve"> political paradigm shifts </w:t>
      </w:r>
      <w:r w:rsidRPr="00586505">
        <w:rPr>
          <w:rFonts w:eastAsia="Times New Roman" w:cs="Times New Roman"/>
        </w:rPr>
        <w:t>bring</w:t>
      </w:r>
      <w:r>
        <w:rPr>
          <w:rFonts w:eastAsia="Times New Roman" w:cs="Times New Roman"/>
        </w:rPr>
        <w:t>ing</w:t>
      </w:r>
      <w:r w:rsidRPr="00586505">
        <w:rPr>
          <w:rFonts w:eastAsia="Times New Roman" w:cs="Times New Roman"/>
        </w:rPr>
        <w:t xml:space="preserve"> </w:t>
      </w:r>
      <w:r>
        <w:rPr>
          <w:rFonts w:eastAsia="Times New Roman" w:cs="Times New Roman"/>
        </w:rPr>
        <w:t>on board new leaders and stakeholders</w:t>
      </w:r>
      <w:r w:rsidRPr="00586505">
        <w:rPr>
          <w:rFonts w:eastAsia="Times New Roman" w:cs="Times New Roman"/>
        </w:rPr>
        <w:t xml:space="preserve"> with diverse views and experiences to deal with regional security challenges.</w:t>
      </w:r>
    </w:p>
    <w:p w:rsidR="0015670D" w:rsidRDefault="0015670D" w:rsidP="00F916CA">
      <w:pPr>
        <w:spacing w:line="276" w:lineRule="auto"/>
        <w:jc w:val="both"/>
        <w:rPr>
          <w:rFonts w:eastAsia="Times New Roman" w:cs="Times New Roman"/>
        </w:rPr>
      </w:pPr>
    </w:p>
    <w:p w:rsidR="0064693A" w:rsidRDefault="00E66915" w:rsidP="0064693A">
      <w:pPr>
        <w:spacing w:line="276" w:lineRule="auto"/>
        <w:jc w:val="both"/>
        <w:rPr>
          <w:rFonts w:eastAsia="Times New Roman" w:cs="Times New Roman"/>
          <w:lang w:val="en"/>
        </w:rPr>
      </w:pPr>
      <w:r>
        <w:rPr>
          <w:rFonts w:eastAsia="Times New Roman" w:cs="Times New Roman"/>
          <w:lang w:val="en"/>
        </w:rPr>
        <w:t xml:space="preserve">The </w:t>
      </w:r>
      <w:r w:rsidR="00F93F3A" w:rsidRPr="00832FE4">
        <w:rPr>
          <w:rFonts w:eastAsia="Times New Roman" w:cs="Times New Roman"/>
          <w:lang w:val="en"/>
        </w:rPr>
        <w:t>Pacific region still continues to grapple with weaknesses in normative frameworks and institutional mechanisms for gender equality and women’s empowerment.</w:t>
      </w:r>
      <w:r w:rsidR="0088062A" w:rsidRPr="00832FE4">
        <w:rPr>
          <w:rFonts w:eastAsia="Times New Roman" w:cs="Times New Roman"/>
          <w:lang w:val="en"/>
        </w:rPr>
        <w:t xml:space="preserve"> </w:t>
      </w:r>
      <w:r w:rsidR="00F93F3A" w:rsidRPr="00832FE4">
        <w:rPr>
          <w:rFonts w:eastAsia="Times New Roman" w:cs="Times New Roman"/>
          <w:lang w:val="en"/>
        </w:rPr>
        <w:t>Critical areas of public and political participation, economic empowerment and elimination of violence against women and girls still need</w:t>
      </w:r>
      <w:r w:rsidR="0088062A">
        <w:rPr>
          <w:rFonts w:eastAsia="Times New Roman" w:cs="Times New Roman"/>
          <w:lang w:val="en"/>
        </w:rPr>
        <w:t>s</w:t>
      </w:r>
      <w:r w:rsidR="00F93F3A" w:rsidRPr="00832FE4">
        <w:rPr>
          <w:rFonts w:eastAsia="Times New Roman" w:cs="Times New Roman"/>
          <w:lang w:val="en"/>
        </w:rPr>
        <w:t xml:space="preserve"> to be vigorously addressed in a concerted way. There are many nuances why things still remain this way in the Pacific, and the current project intends to engage with women </w:t>
      </w:r>
      <w:r>
        <w:rPr>
          <w:rFonts w:eastAsia="Times New Roman" w:cs="Times New Roman"/>
          <w:lang w:val="en"/>
        </w:rPr>
        <w:t xml:space="preserve">and youth </w:t>
      </w:r>
      <w:r w:rsidR="00F93F3A" w:rsidRPr="00832FE4">
        <w:rPr>
          <w:rFonts w:eastAsia="Times New Roman" w:cs="Times New Roman"/>
          <w:lang w:val="en"/>
        </w:rPr>
        <w:t xml:space="preserve">groups regionally and at member state level to </w:t>
      </w:r>
      <w:r w:rsidR="00607B82">
        <w:rPr>
          <w:rFonts w:eastAsia="Times New Roman" w:cs="Times New Roman"/>
          <w:lang w:val="en"/>
        </w:rPr>
        <w:t>support processes to enhance</w:t>
      </w:r>
      <w:r w:rsidR="00F93F3A" w:rsidRPr="00832FE4">
        <w:rPr>
          <w:rFonts w:eastAsia="Times New Roman" w:cs="Times New Roman"/>
          <w:lang w:val="en"/>
        </w:rPr>
        <w:t xml:space="preserve"> their security and</w:t>
      </w:r>
      <w:r w:rsidR="00607B82">
        <w:rPr>
          <w:rFonts w:eastAsia="Times New Roman" w:cs="Times New Roman"/>
          <w:lang w:val="en"/>
        </w:rPr>
        <w:t xml:space="preserve"> facilitate meani</w:t>
      </w:r>
      <w:r w:rsidR="0064693A">
        <w:rPr>
          <w:rFonts w:eastAsia="Times New Roman" w:cs="Times New Roman"/>
          <w:lang w:val="en"/>
        </w:rPr>
        <w:t>ng</w:t>
      </w:r>
      <w:r w:rsidR="00607B82">
        <w:rPr>
          <w:rFonts w:eastAsia="Times New Roman" w:cs="Times New Roman"/>
          <w:lang w:val="en"/>
        </w:rPr>
        <w:t xml:space="preserve">ful contributions to the </w:t>
      </w:r>
      <w:r w:rsidR="00F93F3A" w:rsidRPr="00832FE4">
        <w:rPr>
          <w:rFonts w:eastAsia="Times New Roman" w:cs="Times New Roman"/>
          <w:lang w:val="en"/>
        </w:rPr>
        <w:t xml:space="preserve">security sector decision making processes. </w:t>
      </w:r>
      <w:r w:rsidR="0064693A">
        <w:rPr>
          <w:rFonts w:eastAsia="Times New Roman" w:cs="Times New Roman"/>
          <w:lang w:val="en"/>
        </w:rPr>
        <w:t xml:space="preserve">   </w:t>
      </w:r>
    </w:p>
    <w:p w:rsidR="000B0887" w:rsidRPr="00FF0800" w:rsidRDefault="00826E09" w:rsidP="00F916CA">
      <w:pPr>
        <w:spacing w:line="276" w:lineRule="auto"/>
        <w:jc w:val="both"/>
        <w:rPr>
          <w:rFonts w:eastAsia="Times New Roman" w:cs="Times New Roman"/>
          <w:lang w:val="en"/>
        </w:rPr>
      </w:pPr>
      <w:r>
        <w:rPr>
          <w:rFonts w:eastAsia="Times New Roman" w:cs="Times New Roman"/>
          <w:lang w:val="en"/>
        </w:rPr>
        <w:t>Y</w:t>
      </w:r>
      <w:r w:rsidR="00F93F3A" w:rsidRPr="0053672B">
        <w:rPr>
          <w:rFonts w:eastAsia="Times New Roman" w:cs="Times New Roman"/>
          <w:lang w:val="en"/>
        </w:rPr>
        <w:t xml:space="preserve">outh </w:t>
      </w:r>
      <w:r w:rsidR="00F93F3A" w:rsidRPr="00832FE4">
        <w:rPr>
          <w:rFonts w:eastAsia="Times New Roman" w:cs="Times New Roman"/>
          <w:lang w:val="en"/>
        </w:rPr>
        <w:t>constitute a</w:t>
      </w:r>
      <w:r w:rsidR="00524FCF">
        <w:rPr>
          <w:rFonts w:eastAsia="Times New Roman" w:cs="Times New Roman"/>
          <w:lang w:val="en"/>
        </w:rPr>
        <w:t>t</w:t>
      </w:r>
      <w:r w:rsidR="00F93F3A" w:rsidRPr="00832FE4">
        <w:rPr>
          <w:rFonts w:eastAsia="Times New Roman" w:cs="Times New Roman"/>
          <w:lang w:val="en"/>
        </w:rPr>
        <w:t xml:space="preserve"> least 40% of the population </w:t>
      </w:r>
      <w:r w:rsidR="007067B7">
        <w:rPr>
          <w:rFonts w:eastAsia="Times New Roman" w:cs="Times New Roman"/>
          <w:lang w:val="en"/>
        </w:rPr>
        <w:t>of most PICs</w:t>
      </w:r>
      <w:r>
        <w:rPr>
          <w:rFonts w:eastAsia="Times New Roman" w:cs="Times New Roman"/>
          <w:lang w:val="en"/>
        </w:rPr>
        <w:t>. T</w:t>
      </w:r>
      <w:r w:rsidR="004E7852">
        <w:rPr>
          <w:rFonts w:eastAsia="Times New Roman" w:cs="Times New Roman"/>
          <w:lang w:val="en"/>
        </w:rPr>
        <w:t>his</w:t>
      </w:r>
      <w:r w:rsidR="00F93F3A" w:rsidRPr="00586505">
        <w:rPr>
          <w:rFonts w:eastAsia="Times New Roman" w:cs="Times New Roman"/>
        </w:rPr>
        <w:t xml:space="preserve"> youth bulge and high unemployment rates have exacerbated crime and insecurity.</w:t>
      </w:r>
      <w:r w:rsidR="00F93F3A">
        <w:rPr>
          <w:rFonts w:eastAsia="Times New Roman" w:cs="Times New Roman"/>
        </w:rPr>
        <w:t xml:space="preserve"> </w:t>
      </w:r>
      <w:r w:rsidR="00FF0800">
        <w:rPr>
          <w:rFonts w:eastAsia="Times New Roman" w:cs="Times New Roman"/>
          <w:lang w:val="en"/>
        </w:rPr>
        <w:t>Y</w:t>
      </w:r>
      <w:r w:rsidR="007067B7">
        <w:rPr>
          <w:rFonts w:eastAsia="Times New Roman" w:cs="Times New Roman"/>
          <w:lang w:val="en"/>
        </w:rPr>
        <w:t>outh</w:t>
      </w:r>
      <w:r w:rsidR="00F93F3A" w:rsidRPr="00832FE4">
        <w:rPr>
          <w:rFonts w:eastAsia="Times New Roman" w:cs="Times New Roman"/>
          <w:lang w:val="en"/>
        </w:rPr>
        <w:t xml:space="preserve"> contribution to security se</w:t>
      </w:r>
      <w:r w:rsidR="0064693A">
        <w:rPr>
          <w:rFonts w:eastAsia="Times New Roman" w:cs="Times New Roman"/>
          <w:lang w:val="en"/>
        </w:rPr>
        <w:t xml:space="preserve">ctor decision making has been marginal, and in some </w:t>
      </w:r>
      <w:r w:rsidR="00F93F3A" w:rsidRPr="00832FE4">
        <w:rPr>
          <w:rFonts w:eastAsia="Times New Roman" w:cs="Times New Roman"/>
          <w:lang w:val="en"/>
        </w:rPr>
        <w:t xml:space="preserve">countries, youth appear to be socially excluded or marginalized. </w:t>
      </w:r>
      <w:r w:rsidR="00FF0800">
        <w:rPr>
          <w:rFonts w:eastAsia="Times New Roman" w:cs="Times New Roman"/>
          <w:lang w:val="en"/>
        </w:rPr>
        <w:t xml:space="preserve"> </w:t>
      </w:r>
      <w:r w:rsidR="00F93F3A" w:rsidRPr="00832FE4">
        <w:rPr>
          <w:rFonts w:eastAsia="Times New Roman" w:cs="Times New Roman"/>
          <w:lang w:val="en"/>
        </w:rPr>
        <w:t xml:space="preserve">Many young people want </w:t>
      </w:r>
      <w:r w:rsidR="007067B7">
        <w:rPr>
          <w:rFonts w:eastAsia="Times New Roman" w:cs="Times New Roman"/>
          <w:lang w:val="en"/>
        </w:rPr>
        <w:t>to participate in the developmen</w:t>
      </w:r>
      <w:r w:rsidR="00F93F3A" w:rsidRPr="00832FE4">
        <w:rPr>
          <w:rFonts w:eastAsia="Times New Roman" w:cs="Times New Roman"/>
          <w:lang w:val="en"/>
        </w:rPr>
        <w:t xml:space="preserve">t </w:t>
      </w:r>
      <w:r w:rsidR="007067B7">
        <w:rPr>
          <w:rFonts w:eastAsia="Times New Roman" w:cs="Times New Roman"/>
          <w:lang w:val="en"/>
        </w:rPr>
        <w:t>dialogue in</w:t>
      </w:r>
      <w:r w:rsidR="00F93F3A" w:rsidRPr="00832FE4">
        <w:rPr>
          <w:rFonts w:eastAsia="Times New Roman" w:cs="Times New Roman"/>
          <w:lang w:val="en"/>
        </w:rPr>
        <w:t xml:space="preserve"> their countries</w:t>
      </w:r>
      <w:r w:rsidR="0064693A">
        <w:rPr>
          <w:rFonts w:eastAsia="Times New Roman" w:cs="Times New Roman"/>
          <w:lang w:val="en"/>
        </w:rPr>
        <w:t xml:space="preserve">, however the </w:t>
      </w:r>
      <w:r w:rsidR="00F93F3A" w:rsidRPr="00832FE4">
        <w:rPr>
          <w:rFonts w:eastAsia="Times New Roman" w:cs="Times New Roman"/>
          <w:lang w:val="en"/>
        </w:rPr>
        <w:t>link</w:t>
      </w:r>
      <w:r w:rsidR="0064693A">
        <w:rPr>
          <w:rFonts w:eastAsia="Times New Roman" w:cs="Times New Roman"/>
          <w:lang w:val="en"/>
        </w:rPr>
        <w:t>s</w:t>
      </w:r>
      <w:r w:rsidR="007067B7">
        <w:rPr>
          <w:rFonts w:eastAsia="Times New Roman" w:cs="Times New Roman"/>
          <w:lang w:val="en"/>
        </w:rPr>
        <w:t xml:space="preserve"> between cultural norms, </w:t>
      </w:r>
      <w:r w:rsidR="00F93F3A" w:rsidRPr="00832FE4">
        <w:rPr>
          <w:rFonts w:eastAsia="Times New Roman" w:cs="Times New Roman"/>
          <w:lang w:val="en"/>
        </w:rPr>
        <w:t xml:space="preserve">social values and youth marginalization is quite evident in many </w:t>
      </w:r>
      <w:r w:rsidR="007067B7">
        <w:rPr>
          <w:rFonts w:eastAsia="Times New Roman" w:cs="Times New Roman"/>
          <w:lang w:val="en"/>
        </w:rPr>
        <w:t xml:space="preserve">PICs </w:t>
      </w:r>
      <w:r w:rsidR="00F93F3A" w:rsidRPr="00832FE4">
        <w:rPr>
          <w:rFonts w:eastAsia="Times New Roman" w:cs="Times New Roman"/>
          <w:lang w:val="en"/>
        </w:rPr>
        <w:t>where a very high premium is placed on hierarchy and authority</w:t>
      </w:r>
      <w:r w:rsidR="00FF0800">
        <w:rPr>
          <w:rFonts w:eastAsia="Times New Roman" w:cs="Times New Roman"/>
          <w:lang w:val="en"/>
        </w:rPr>
        <w:t>.</w:t>
      </w:r>
    </w:p>
    <w:p w:rsidR="002153DC" w:rsidRPr="00586505" w:rsidRDefault="00FF0800" w:rsidP="00F916CA">
      <w:pPr>
        <w:spacing w:line="276" w:lineRule="auto"/>
        <w:jc w:val="both"/>
        <w:rPr>
          <w:rFonts w:eastAsia="Times New Roman" w:cs="Times New Roman"/>
        </w:rPr>
      </w:pPr>
      <w:r>
        <w:rPr>
          <w:rFonts w:eastAsia="Times New Roman" w:cs="Times New Roman"/>
        </w:rPr>
        <w:t>Overall t</w:t>
      </w:r>
      <w:r w:rsidR="002153DC" w:rsidRPr="00586505">
        <w:rPr>
          <w:rFonts w:eastAsia="Times New Roman" w:cs="Times New Roman"/>
        </w:rPr>
        <w:t>he huge cultural and tribal differences in many Pacific Island countries as well as their size, have often made discussion on security sector transformation a taboo for public discourse. Building consensus among donor</w:t>
      </w:r>
      <w:r w:rsidR="00E43B1F" w:rsidRPr="00586505">
        <w:rPr>
          <w:rFonts w:eastAsia="Times New Roman" w:cs="Times New Roman"/>
        </w:rPr>
        <w:t>s</w:t>
      </w:r>
      <w:r w:rsidR="002153DC" w:rsidRPr="00586505">
        <w:rPr>
          <w:rFonts w:eastAsia="Times New Roman" w:cs="Times New Roman"/>
        </w:rPr>
        <w:t xml:space="preserve"> and International partners on coordination of security </w:t>
      </w:r>
      <w:r>
        <w:rPr>
          <w:rFonts w:eastAsia="Times New Roman" w:cs="Times New Roman"/>
        </w:rPr>
        <w:t>sector governance</w:t>
      </w:r>
      <w:r w:rsidR="002153DC" w:rsidRPr="00586505">
        <w:rPr>
          <w:rFonts w:eastAsia="Times New Roman" w:cs="Times New Roman"/>
        </w:rPr>
        <w:t xml:space="preserve"> assistance is often challenging and the isolation of Pacific Island countries, small economies and markets continue to present challenges which are exacerbated by uneven infrastructure, poor delivery of social services and high</w:t>
      </w:r>
      <w:r w:rsidR="00002D30">
        <w:rPr>
          <w:rFonts w:eastAsia="Times New Roman" w:cs="Times New Roman"/>
        </w:rPr>
        <w:t xml:space="preserve"> risks of environmental hazards, including </w:t>
      </w:r>
      <w:r w:rsidR="00674572">
        <w:rPr>
          <w:rFonts w:eastAsia="Times New Roman" w:cs="Times New Roman"/>
        </w:rPr>
        <w:t>climate change.</w:t>
      </w:r>
    </w:p>
    <w:p w:rsidR="00FD321E" w:rsidRPr="00586505" w:rsidRDefault="0092053F" w:rsidP="00F916CA">
      <w:pPr>
        <w:pStyle w:val="ListParagraph"/>
        <w:numPr>
          <w:ilvl w:val="0"/>
          <w:numId w:val="25"/>
        </w:numPr>
        <w:spacing w:line="276" w:lineRule="auto"/>
        <w:jc w:val="both"/>
        <w:rPr>
          <w:rFonts w:eastAsia="Times New Roman" w:cs="Times New Roman"/>
          <w:b/>
          <w:sz w:val="24"/>
          <w:szCs w:val="24"/>
          <w:lang w:val="en-GB"/>
        </w:rPr>
      </w:pPr>
      <w:r w:rsidRPr="00586505">
        <w:rPr>
          <w:rFonts w:eastAsia="Times New Roman" w:cs="Times New Roman"/>
          <w:b/>
          <w:sz w:val="24"/>
          <w:szCs w:val="24"/>
          <w:lang w:val="en-GB"/>
        </w:rPr>
        <w:t>P</w:t>
      </w:r>
      <w:r w:rsidR="00FD321E" w:rsidRPr="00586505">
        <w:rPr>
          <w:rFonts w:eastAsia="Times New Roman" w:cs="Times New Roman"/>
          <w:b/>
          <w:sz w:val="24"/>
          <w:szCs w:val="24"/>
          <w:lang w:val="en-GB"/>
        </w:rPr>
        <w:t>olicy frameworks for security in the Pacific Region</w:t>
      </w:r>
    </w:p>
    <w:p w:rsidR="00F93F3A" w:rsidRPr="00F93F3A" w:rsidRDefault="00F93F3A" w:rsidP="00F916CA">
      <w:pPr>
        <w:spacing w:line="276" w:lineRule="auto"/>
        <w:jc w:val="both"/>
        <w:rPr>
          <w:rFonts w:cs="Times New Roman"/>
        </w:rPr>
      </w:pPr>
      <w:r w:rsidRPr="00F93F3A">
        <w:rPr>
          <w:rFonts w:eastAsia="Times New Roman" w:cs="Times New Roman"/>
        </w:rPr>
        <w:t xml:space="preserve">Several important achievements </w:t>
      </w:r>
      <w:r>
        <w:rPr>
          <w:rFonts w:eastAsia="Times New Roman" w:cs="Times New Roman"/>
        </w:rPr>
        <w:t xml:space="preserve">have been made </w:t>
      </w:r>
      <w:r w:rsidRPr="00F93F3A">
        <w:rPr>
          <w:rFonts w:eastAsia="Times New Roman" w:cs="Times New Roman"/>
        </w:rPr>
        <w:t xml:space="preserve">in the Pacific Region in relation to Human Security through a series of commitments that were the results of </w:t>
      </w:r>
      <w:r w:rsidR="00C8761F">
        <w:rPr>
          <w:rFonts w:eastAsia="Times New Roman" w:cs="Times New Roman"/>
        </w:rPr>
        <w:t>extensive</w:t>
      </w:r>
      <w:r w:rsidR="0038516E">
        <w:rPr>
          <w:rFonts w:eastAsia="Times New Roman" w:cs="Times New Roman"/>
        </w:rPr>
        <w:t xml:space="preserve"> consultations. This includes the deployment of </w:t>
      </w:r>
      <w:r w:rsidRPr="00F93F3A">
        <w:rPr>
          <w:rFonts w:eastAsia="Times New Roman" w:cs="Times New Roman"/>
        </w:rPr>
        <w:t xml:space="preserve">Bougainville </w:t>
      </w:r>
      <w:r w:rsidR="0038516E">
        <w:rPr>
          <w:rFonts w:eastAsia="Times New Roman" w:cs="Times New Roman"/>
        </w:rPr>
        <w:t xml:space="preserve">Peace Monitoring Group in 1998 followed by </w:t>
      </w:r>
      <w:r w:rsidRPr="00F93F3A">
        <w:rPr>
          <w:rFonts w:eastAsia="Times New Roman" w:cs="Times New Roman"/>
        </w:rPr>
        <w:t>the Bo</w:t>
      </w:r>
      <w:r w:rsidR="0038516E">
        <w:rPr>
          <w:rFonts w:eastAsia="Times New Roman" w:cs="Times New Roman"/>
        </w:rPr>
        <w:t>ugainville Peace Agreement i</w:t>
      </w:r>
      <w:r w:rsidR="00826E09">
        <w:rPr>
          <w:rFonts w:eastAsia="Times New Roman" w:cs="Times New Roman"/>
        </w:rPr>
        <w:t>n 2001,</w:t>
      </w:r>
      <w:r w:rsidR="0038516E">
        <w:rPr>
          <w:rFonts w:eastAsia="Times New Roman" w:cs="Times New Roman"/>
        </w:rPr>
        <w:t xml:space="preserve"> </w:t>
      </w:r>
      <w:r w:rsidRPr="00F93F3A">
        <w:rPr>
          <w:rFonts w:eastAsia="Times New Roman" w:cs="Times New Roman"/>
        </w:rPr>
        <w:t xml:space="preserve">and the </w:t>
      </w:r>
      <w:r w:rsidR="0038516E">
        <w:rPr>
          <w:rFonts w:eastAsia="Times New Roman" w:cs="Times New Roman"/>
        </w:rPr>
        <w:t xml:space="preserve">deployment of the </w:t>
      </w:r>
      <w:r w:rsidRPr="00F93F3A">
        <w:rPr>
          <w:rFonts w:eastAsia="Times New Roman" w:cs="Times New Roman"/>
        </w:rPr>
        <w:t>International Peace Monitor</w:t>
      </w:r>
      <w:r w:rsidR="0015670D">
        <w:rPr>
          <w:rFonts w:eastAsia="Times New Roman" w:cs="Times New Roman"/>
        </w:rPr>
        <w:t xml:space="preserve">ing Team for Solomon Islands </w:t>
      </w:r>
      <w:r w:rsidR="0038516E">
        <w:rPr>
          <w:rFonts w:eastAsia="Times New Roman" w:cs="Times New Roman"/>
        </w:rPr>
        <w:t xml:space="preserve"> in 2000 followed by the Regional Assistance Mission to the Solomon Islands in 2003.  Both such examples </w:t>
      </w:r>
      <w:r w:rsidRPr="00F93F3A">
        <w:rPr>
          <w:rFonts w:eastAsia="Times New Roman" w:cs="Times New Roman"/>
        </w:rPr>
        <w:t>demonstrated that collective regional resolve through cooperation and coordination coupled with institutional integration, could be catalytic for peace and security in the region.</w:t>
      </w:r>
      <w:r w:rsidRPr="00F93F3A">
        <w:rPr>
          <w:rFonts w:cs="Times New Roman"/>
        </w:rPr>
        <w:t xml:space="preserve"> </w:t>
      </w:r>
    </w:p>
    <w:p w:rsidR="00FD321E" w:rsidRPr="00832FE4" w:rsidRDefault="00FD321E" w:rsidP="00F916CA">
      <w:pPr>
        <w:tabs>
          <w:tab w:val="left" w:pos="930"/>
        </w:tabs>
        <w:spacing w:after="60" w:line="276" w:lineRule="auto"/>
        <w:jc w:val="both"/>
        <w:rPr>
          <w:rFonts w:eastAsia="Times New Roman" w:cs="Times New Roman"/>
          <w:b/>
          <w:i/>
          <w:lang w:val="en-GB"/>
        </w:rPr>
      </w:pPr>
      <w:r w:rsidRPr="00832FE4">
        <w:rPr>
          <w:rFonts w:eastAsia="Times New Roman" w:cs="Times New Roman"/>
          <w:b/>
          <w:i/>
          <w:lang w:val="en-GB"/>
        </w:rPr>
        <w:t>The Human Security Framework for the Pacific 2012-2015</w:t>
      </w:r>
    </w:p>
    <w:p w:rsidR="00FD321E" w:rsidRPr="00832FE4" w:rsidRDefault="003C538D" w:rsidP="00F916CA">
      <w:pPr>
        <w:tabs>
          <w:tab w:val="left" w:pos="930"/>
        </w:tabs>
        <w:spacing w:after="60" w:line="276" w:lineRule="auto"/>
        <w:jc w:val="both"/>
        <w:rPr>
          <w:rFonts w:eastAsia="Times New Roman" w:cs="Times New Roman"/>
          <w:lang w:val="en-GB"/>
        </w:rPr>
      </w:pPr>
      <w:r>
        <w:rPr>
          <w:rFonts w:eastAsia="Times New Roman" w:cs="Times New Roman"/>
          <w:lang w:val="en-GB"/>
        </w:rPr>
        <w:t xml:space="preserve">The Human Security Framework </w:t>
      </w:r>
      <w:r w:rsidR="00486580">
        <w:rPr>
          <w:rFonts w:eastAsia="Times New Roman" w:cs="Times New Roman"/>
          <w:lang w:val="en-GB"/>
        </w:rPr>
        <w:t xml:space="preserve">developed </w:t>
      </w:r>
      <w:r w:rsidR="00FD321E" w:rsidRPr="00832FE4">
        <w:rPr>
          <w:rFonts w:eastAsia="Times New Roman" w:cs="Times New Roman"/>
          <w:lang w:val="en-GB"/>
        </w:rPr>
        <w:t>by the Pacific Islands Forum Secretariat in 2004</w:t>
      </w:r>
      <w:r w:rsidR="00486580">
        <w:rPr>
          <w:rFonts w:eastAsia="Times New Roman" w:cs="Times New Roman"/>
          <w:lang w:val="en-GB"/>
        </w:rPr>
        <w:t xml:space="preserve"> and further refined during discussions thereafter</w:t>
      </w:r>
      <w:r w:rsidR="00C04777" w:rsidRPr="00832FE4">
        <w:rPr>
          <w:rFonts w:eastAsia="Times New Roman" w:cs="Times New Roman"/>
          <w:lang w:val="en-GB"/>
        </w:rPr>
        <w:t>,</w:t>
      </w:r>
      <w:r w:rsidR="00FD321E" w:rsidRPr="00832FE4">
        <w:rPr>
          <w:rFonts w:eastAsia="Times New Roman" w:cs="Times New Roman"/>
          <w:lang w:val="en-GB"/>
        </w:rPr>
        <w:t xml:space="preserve"> provides a clear cut strategic foundation and understanding of human security by Forum Island countries within the Pacific context. It was informed by a series of consultations, research and guidance given by member states. The </w:t>
      </w:r>
      <w:r w:rsidR="00674572">
        <w:rPr>
          <w:rFonts w:eastAsia="Times New Roman" w:cs="Times New Roman"/>
          <w:lang w:val="en-GB"/>
        </w:rPr>
        <w:t>vision of the Pacific leaders was</w:t>
      </w:r>
      <w:r w:rsidR="00FD321E" w:rsidRPr="00832FE4">
        <w:rPr>
          <w:rFonts w:eastAsia="Times New Roman" w:cs="Times New Roman"/>
          <w:lang w:val="en-GB"/>
        </w:rPr>
        <w:t xml:space="preserve"> to have this framework as a standalone which addresses issues of peace, security and development in a much broader way. The framework distils and crystalizes a broader understanding of human security parameters specifically contextualized to the Pacific region to benefit governments of member states as well as international and development partners interested in the region.</w:t>
      </w:r>
      <w:r w:rsidR="000B0887" w:rsidRPr="00832FE4">
        <w:rPr>
          <w:rFonts w:eastAsia="Times New Roman" w:cs="Times New Roman"/>
          <w:lang w:val="en-GB"/>
        </w:rPr>
        <w:t xml:space="preserve"> </w:t>
      </w:r>
      <w:r w:rsidR="00FD321E" w:rsidRPr="00832FE4">
        <w:rPr>
          <w:rFonts w:eastAsia="Times New Roman" w:cs="Times New Roman"/>
          <w:lang w:val="en-GB"/>
        </w:rPr>
        <w:t>The focus is on political, economic, social, environmental, community, family and individual secu</w:t>
      </w:r>
      <w:r w:rsidR="00674572">
        <w:rPr>
          <w:rFonts w:eastAsia="Times New Roman" w:cs="Times New Roman"/>
          <w:lang w:val="en-GB"/>
        </w:rPr>
        <w:t xml:space="preserve">rity and </w:t>
      </w:r>
      <w:r w:rsidR="002D5F1B" w:rsidRPr="00832FE4">
        <w:rPr>
          <w:rFonts w:eastAsia="Times New Roman" w:cs="Times New Roman"/>
          <w:lang w:val="en-GB"/>
        </w:rPr>
        <w:t>outlines</w:t>
      </w:r>
      <w:r w:rsidR="00FD321E" w:rsidRPr="00832FE4">
        <w:rPr>
          <w:rFonts w:eastAsia="Times New Roman" w:cs="Times New Roman"/>
          <w:lang w:val="en-GB"/>
        </w:rPr>
        <w:t xml:space="preserve"> how conflicts must be addressed from identification through mitigation and resolution. The framework is Pacific specific</w:t>
      </w:r>
      <w:r w:rsidR="002D5F1B" w:rsidRPr="00832FE4">
        <w:rPr>
          <w:rFonts w:eastAsia="Times New Roman" w:cs="Times New Roman"/>
          <w:lang w:val="en-GB"/>
        </w:rPr>
        <w:t xml:space="preserve"> and stresses on the need to use</w:t>
      </w:r>
      <w:r w:rsidR="00FD321E" w:rsidRPr="00832FE4">
        <w:rPr>
          <w:rFonts w:eastAsia="Times New Roman" w:cs="Times New Roman"/>
          <w:lang w:val="en-GB"/>
        </w:rPr>
        <w:t xml:space="preserve"> localised and collaborative approaches where feasible</w:t>
      </w:r>
      <w:r w:rsidR="00674572">
        <w:rPr>
          <w:rFonts w:eastAsia="Times New Roman" w:cs="Times New Roman"/>
          <w:lang w:val="en-GB"/>
        </w:rPr>
        <w:t xml:space="preserve"> </w:t>
      </w:r>
      <w:r w:rsidR="002D5F1B" w:rsidRPr="00832FE4">
        <w:rPr>
          <w:rFonts w:eastAsia="Times New Roman" w:cs="Times New Roman"/>
          <w:lang w:val="en-GB"/>
        </w:rPr>
        <w:t>to mitigate conflicts</w:t>
      </w:r>
      <w:r w:rsidR="00674572">
        <w:rPr>
          <w:rFonts w:eastAsia="Times New Roman" w:cs="Times New Roman"/>
          <w:lang w:val="en-GB"/>
        </w:rPr>
        <w:t xml:space="preserve"> with </w:t>
      </w:r>
      <w:r w:rsidR="00415607" w:rsidRPr="00832FE4">
        <w:rPr>
          <w:rFonts w:eastAsia="Times New Roman" w:cs="Times New Roman"/>
          <w:lang w:val="en-GB"/>
        </w:rPr>
        <w:t>people</w:t>
      </w:r>
      <w:r w:rsidR="00674572">
        <w:rPr>
          <w:rFonts w:eastAsia="Times New Roman" w:cs="Times New Roman"/>
          <w:lang w:val="en-GB"/>
        </w:rPr>
        <w:t xml:space="preserve"> to be </w:t>
      </w:r>
      <w:r w:rsidR="007075A3" w:rsidRPr="00832FE4">
        <w:rPr>
          <w:rFonts w:eastAsia="Times New Roman" w:cs="Times New Roman"/>
          <w:lang w:val="en-GB"/>
        </w:rPr>
        <w:t xml:space="preserve">encouraged </w:t>
      </w:r>
      <w:r w:rsidR="00FD321E" w:rsidRPr="00832FE4">
        <w:rPr>
          <w:rFonts w:eastAsia="Times New Roman" w:cs="Times New Roman"/>
          <w:lang w:val="en-GB"/>
        </w:rPr>
        <w:t>to participate in security sector discourse and decision making</w:t>
      </w:r>
      <w:r w:rsidR="002E5278" w:rsidRPr="00832FE4">
        <w:rPr>
          <w:rFonts w:eastAsia="Times New Roman" w:cs="Times New Roman"/>
          <w:lang w:val="en-GB"/>
        </w:rPr>
        <w:t>.</w:t>
      </w:r>
    </w:p>
    <w:p w:rsidR="002153DC" w:rsidRPr="00832FE4" w:rsidRDefault="002153DC" w:rsidP="00F916CA">
      <w:pPr>
        <w:tabs>
          <w:tab w:val="left" w:pos="630"/>
        </w:tabs>
        <w:spacing w:after="60" w:line="276" w:lineRule="auto"/>
        <w:jc w:val="both"/>
        <w:rPr>
          <w:rFonts w:eastAsia="Times New Roman" w:cs="Times New Roman"/>
          <w:i/>
          <w:sz w:val="20"/>
          <w:szCs w:val="20"/>
          <w:lang w:val="en-GB"/>
        </w:rPr>
      </w:pPr>
    </w:p>
    <w:p w:rsidR="00FD321E" w:rsidRPr="00832FE4" w:rsidRDefault="00FD321E" w:rsidP="00F916CA">
      <w:pPr>
        <w:tabs>
          <w:tab w:val="left" w:pos="630"/>
        </w:tabs>
        <w:spacing w:after="60" w:line="276" w:lineRule="auto"/>
        <w:jc w:val="both"/>
        <w:rPr>
          <w:rFonts w:eastAsia="Times New Roman" w:cs="Times New Roman"/>
          <w:b/>
          <w:i/>
          <w:lang w:val="en-GB"/>
        </w:rPr>
      </w:pPr>
      <w:r w:rsidRPr="00832FE4">
        <w:rPr>
          <w:rFonts w:eastAsia="Times New Roman" w:cs="Times New Roman"/>
          <w:b/>
          <w:i/>
          <w:lang w:val="en-GB"/>
        </w:rPr>
        <w:t>The Framework for Pacific Regionalism</w:t>
      </w:r>
    </w:p>
    <w:p w:rsidR="006B6C68" w:rsidRPr="00832FE4" w:rsidRDefault="00345316" w:rsidP="006B6C68">
      <w:pPr>
        <w:spacing w:line="276" w:lineRule="auto"/>
        <w:jc w:val="both"/>
        <w:rPr>
          <w:rFonts w:cs="Times New Roman"/>
        </w:rPr>
      </w:pPr>
      <w:r>
        <w:rPr>
          <w:rFonts w:cs="Times New Roman"/>
        </w:rPr>
        <w:t>The Framework for Pacific Regionalism was endorsed by Pacific Island Forum Leaders in July 2014 and replaced T</w:t>
      </w:r>
      <w:r w:rsidR="00FD321E" w:rsidRPr="00832FE4">
        <w:rPr>
          <w:rFonts w:cs="Times New Roman"/>
        </w:rPr>
        <w:t>he Pacific P</w:t>
      </w:r>
      <w:r w:rsidR="007075A3" w:rsidRPr="00832FE4">
        <w:rPr>
          <w:rFonts w:cs="Times New Roman"/>
        </w:rPr>
        <w:t>l</w:t>
      </w:r>
      <w:r w:rsidR="00FD321E" w:rsidRPr="00832FE4">
        <w:rPr>
          <w:rFonts w:cs="Times New Roman"/>
        </w:rPr>
        <w:t>an</w:t>
      </w:r>
      <w:r>
        <w:rPr>
          <w:rFonts w:cs="Times New Roman"/>
        </w:rPr>
        <w:t xml:space="preserve"> for Strengthening Regional Cooperation and Integration. </w:t>
      </w:r>
      <w:r w:rsidR="00FD321E" w:rsidRPr="00832FE4">
        <w:rPr>
          <w:rFonts w:cs="Times New Roman"/>
        </w:rPr>
        <w:t xml:space="preserve"> </w:t>
      </w:r>
      <w:r w:rsidR="006B6C68" w:rsidRPr="00832FE4">
        <w:rPr>
          <w:rFonts w:cs="Times New Roman"/>
        </w:rPr>
        <w:t xml:space="preserve">The Pacific leaders </w:t>
      </w:r>
      <w:r w:rsidR="006B6C68">
        <w:rPr>
          <w:rFonts w:cs="Times New Roman"/>
        </w:rPr>
        <w:t xml:space="preserve">have continued to </w:t>
      </w:r>
      <w:r w:rsidR="006B6C68" w:rsidRPr="00832FE4">
        <w:rPr>
          <w:rFonts w:cs="Times New Roman"/>
        </w:rPr>
        <w:t xml:space="preserve">embrace the phenomenon of Pacific Regionalism as an expression of a common sense of identity and purpose, </w:t>
      </w:r>
      <w:r w:rsidR="006B6C68">
        <w:rPr>
          <w:rFonts w:cs="Times New Roman"/>
        </w:rPr>
        <w:t>to lead</w:t>
      </w:r>
      <w:r w:rsidR="006B6C68" w:rsidRPr="00832FE4">
        <w:rPr>
          <w:rFonts w:cs="Times New Roman"/>
        </w:rPr>
        <w:t xml:space="preserve"> progressively to the sharing of institutions, resources, and markets, with the purpose of complementing national efforts, overcoming common constraints, and enhancing sustainable and inclusive development within Pacific countries and territories and for the Pac</w:t>
      </w:r>
      <w:r w:rsidR="006B6C68">
        <w:rPr>
          <w:rFonts w:cs="Times New Roman"/>
        </w:rPr>
        <w:t>ific region as a whole.</w:t>
      </w:r>
    </w:p>
    <w:p w:rsidR="00FD321E" w:rsidRPr="00832FE4" w:rsidRDefault="00E32181" w:rsidP="00F916CA">
      <w:pPr>
        <w:spacing w:line="276" w:lineRule="auto"/>
        <w:jc w:val="both"/>
        <w:rPr>
          <w:rFonts w:cs="Times New Roman"/>
        </w:rPr>
      </w:pPr>
      <w:r>
        <w:rPr>
          <w:rFonts w:cs="Times New Roman"/>
        </w:rPr>
        <w:t>The Framework is intended to support dialogue to</w:t>
      </w:r>
      <w:r w:rsidR="006B6C68">
        <w:rPr>
          <w:rFonts w:cs="Times New Roman"/>
        </w:rPr>
        <w:t xml:space="preserve"> address</w:t>
      </w:r>
      <w:r>
        <w:rPr>
          <w:rFonts w:cs="Times New Roman"/>
        </w:rPr>
        <w:t xml:space="preserve"> </w:t>
      </w:r>
      <w:r w:rsidR="006B6C68">
        <w:rPr>
          <w:rFonts w:cs="Times New Roman"/>
        </w:rPr>
        <w:t xml:space="preserve">the </w:t>
      </w:r>
      <w:r>
        <w:rPr>
          <w:rFonts w:cs="Times New Roman"/>
        </w:rPr>
        <w:t xml:space="preserve">key strategic issues </w:t>
      </w:r>
      <w:r w:rsidR="006B6C68">
        <w:rPr>
          <w:rFonts w:cs="Times New Roman"/>
        </w:rPr>
        <w:t xml:space="preserve">of security, good governance, economic growth and sustainable development.   </w:t>
      </w:r>
      <w:r w:rsidR="00FD321E" w:rsidRPr="00832FE4">
        <w:rPr>
          <w:rFonts w:cs="Times New Roman"/>
        </w:rPr>
        <w:t xml:space="preserve">The priorities identified under the security pillar are (1) Improving Human Security Outcomes for members, through advancing conflict prevention, conflict resolution mechanisms and peace building (2) Strengthening cooperation in the law enforcement and border security sectors to address terrorism and transnational crime (3) Promoting and consolidating regional stability through adherence to Forum values and the principles of the Biketawa Declaration. The strategic objective of the framework is that Security must ensure stable and safe human and political conditions for all. </w:t>
      </w:r>
    </w:p>
    <w:p w:rsidR="00FD321E" w:rsidRPr="00832FE4" w:rsidRDefault="00FD321E" w:rsidP="00F916CA">
      <w:pPr>
        <w:spacing w:line="276" w:lineRule="auto"/>
        <w:jc w:val="both"/>
        <w:rPr>
          <w:rFonts w:cs="Times New Roman"/>
          <w:b/>
          <w:i/>
        </w:rPr>
      </w:pPr>
      <w:r w:rsidRPr="00832FE4">
        <w:rPr>
          <w:rFonts w:cs="Times New Roman"/>
          <w:b/>
          <w:i/>
        </w:rPr>
        <w:t xml:space="preserve">The Pacific Regional Action Plan on Women, Peace and Security </w:t>
      </w:r>
    </w:p>
    <w:p w:rsidR="00FD321E" w:rsidRPr="00832FE4" w:rsidRDefault="00FD321E" w:rsidP="00F916CA">
      <w:pPr>
        <w:shd w:val="clear" w:color="auto" w:fill="FFFFFF"/>
        <w:spacing w:after="150" w:line="276" w:lineRule="auto"/>
        <w:jc w:val="both"/>
        <w:rPr>
          <w:rFonts w:eastAsia="Times New Roman" w:cs="Times New Roman"/>
          <w:color w:val="333333"/>
        </w:rPr>
      </w:pPr>
      <w:r w:rsidRPr="00832FE4">
        <w:rPr>
          <w:rFonts w:cs="Times New Roman"/>
        </w:rPr>
        <w:t xml:space="preserve">The United Nations Security Council Resolution 1325 on Women, Peace and Security 2000 addresses the need for women’s inclusion and participation in security sector decision making. This resolution urges states to increase the numbers of women </w:t>
      </w:r>
      <w:r w:rsidR="0041032F" w:rsidRPr="00832FE4">
        <w:rPr>
          <w:rFonts w:cs="Times New Roman"/>
        </w:rPr>
        <w:t>at</w:t>
      </w:r>
      <w:r w:rsidRPr="00832FE4">
        <w:rPr>
          <w:rFonts w:cs="Times New Roman"/>
        </w:rPr>
        <w:t xml:space="preserve"> all levels of decision making (national, regional and international) related to prevention, management and resolution of conflicts.</w:t>
      </w:r>
      <w:r w:rsidRPr="00832FE4">
        <w:rPr>
          <w:rFonts w:eastAsia="Times New Roman" w:cs="Times New Roman"/>
          <w:color w:val="333333"/>
        </w:rPr>
        <w:t xml:space="preserve"> </w:t>
      </w:r>
    </w:p>
    <w:p w:rsidR="002153DC" w:rsidRPr="00832FE4" w:rsidRDefault="00FD321E" w:rsidP="00F916CA">
      <w:pPr>
        <w:shd w:val="clear" w:color="auto" w:fill="FFFFFF"/>
        <w:spacing w:after="150" w:line="276" w:lineRule="auto"/>
        <w:jc w:val="both"/>
        <w:rPr>
          <w:rFonts w:eastAsia="Times New Roman" w:cs="Times New Roman"/>
        </w:rPr>
      </w:pPr>
      <w:r w:rsidRPr="00832FE4">
        <w:rPr>
          <w:rFonts w:eastAsia="Times New Roman" w:cs="Times New Roman"/>
        </w:rPr>
        <w:t xml:space="preserve">A working group involving the </w:t>
      </w:r>
      <w:r w:rsidR="003C538D">
        <w:rPr>
          <w:rFonts w:eastAsia="Times New Roman" w:cs="Times New Roman"/>
        </w:rPr>
        <w:t>Council of Regional Organisations in the Pacific (</w:t>
      </w:r>
      <w:r w:rsidRPr="00832FE4">
        <w:rPr>
          <w:rFonts w:eastAsia="Times New Roman" w:cs="Times New Roman"/>
        </w:rPr>
        <w:t>CROP</w:t>
      </w:r>
      <w:r w:rsidR="003C538D">
        <w:rPr>
          <w:rFonts w:eastAsia="Times New Roman" w:cs="Times New Roman"/>
        </w:rPr>
        <w:t>)</w:t>
      </w:r>
      <w:r w:rsidRPr="00832FE4">
        <w:rPr>
          <w:rFonts w:eastAsia="Times New Roman" w:cs="Times New Roman"/>
        </w:rPr>
        <w:t xml:space="preserve"> and the UN developed the Pa</w:t>
      </w:r>
      <w:r w:rsidR="006F0B39">
        <w:rPr>
          <w:rFonts w:eastAsia="Times New Roman" w:cs="Times New Roman"/>
        </w:rPr>
        <w:t>cific Regional Action Plan</w:t>
      </w:r>
      <w:r w:rsidRPr="00832FE4">
        <w:rPr>
          <w:rFonts w:eastAsia="Times New Roman" w:cs="Times New Roman"/>
        </w:rPr>
        <w:t xml:space="preserve"> on Women</w:t>
      </w:r>
      <w:r w:rsidR="006F0B39">
        <w:rPr>
          <w:rFonts w:eastAsia="Times New Roman" w:cs="Times New Roman"/>
        </w:rPr>
        <w:t>,</w:t>
      </w:r>
      <w:r w:rsidRPr="00832FE4">
        <w:rPr>
          <w:rFonts w:eastAsia="Times New Roman" w:cs="Times New Roman"/>
        </w:rPr>
        <w:t xml:space="preserve"> Peace and Security endorsed by the Forum Regional Security Committee</w:t>
      </w:r>
      <w:r w:rsidR="00984878" w:rsidRPr="00832FE4">
        <w:rPr>
          <w:rFonts w:eastAsia="Times New Roman" w:cs="Times New Roman"/>
        </w:rPr>
        <w:t xml:space="preserve"> (FRSC)</w:t>
      </w:r>
      <w:r w:rsidRPr="00832FE4">
        <w:rPr>
          <w:rFonts w:eastAsia="Times New Roman" w:cs="Times New Roman"/>
        </w:rPr>
        <w:t xml:space="preserve"> in 2012 and subsequently by </w:t>
      </w:r>
      <w:r w:rsidR="002D447C">
        <w:rPr>
          <w:rFonts w:eastAsia="Times New Roman" w:cs="Times New Roman"/>
        </w:rPr>
        <w:t xml:space="preserve">Pacific Island Forum </w:t>
      </w:r>
      <w:r w:rsidRPr="00832FE4">
        <w:rPr>
          <w:rFonts w:eastAsia="Times New Roman" w:cs="Times New Roman"/>
        </w:rPr>
        <w:t xml:space="preserve">leaders </w:t>
      </w:r>
      <w:r w:rsidR="002D447C">
        <w:rPr>
          <w:rFonts w:eastAsia="Times New Roman" w:cs="Times New Roman"/>
        </w:rPr>
        <w:t>in May 2014</w:t>
      </w:r>
      <w:r w:rsidRPr="00832FE4">
        <w:rPr>
          <w:rFonts w:eastAsia="Times New Roman" w:cs="Times New Roman"/>
        </w:rPr>
        <w:t>. T</w:t>
      </w:r>
      <w:r w:rsidR="006F0B39">
        <w:rPr>
          <w:rFonts w:eastAsia="Times New Roman" w:cs="Times New Roman"/>
        </w:rPr>
        <w:t>his</w:t>
      </w:r>
      <w:r w:rsidRPr="00832FE4">
        <w:rPr>
          <w:rFonts w:eastAsia="Times New Roman" w:cs="Times New Roman"/>
        </w:rPr>
        <w:t xml:space="preserve"> Regional Action Plan provides a framework at the regional level for Forum Members and Pacific Territories to enhance women’s leadership in conflict prevention and peacebuilding, mainstreaming gender in security policy-making, and ensuring </w:t>
      </w:r>
      <w:r w:rsidR="0041032F" w:rsidRPr="00832FE4">
        <w:rPr>
          <w:rFonts w:eastAsia="Times New Roman" w:cs="Times New Roman"/>
        </w:rPr>
        <w:t>that their</w:t>
      </w:r>
      <w:r w:rsidRPr="00832FE4">
        <w:rPr>
          <w:rFonts w:eastAsia="Times New Roman" w:cs="Times New Roman"/>
        </w:rPr>
        <w:t xml:space="preserve"> human rights are protected in humanitarian crises, transitional contexts and post-conflict situations. It also sets out a regional mechanism that will support regional and national efforts. The Regional Action Plan </w:t>
      </w:r>
      <w:r w:rsidR="00984878" w:rsidRPr="00832FE4">
        <w:rPr>
          <w:rFonts w:eastAsia="Times New Roman" w:cs="Times New Roman"/>
        </w:rPr>
        <w:t>is be</w:t>
      </w:r>
      <w:r w:rsidR="00524FCF">
        <w:rPr>
          <w:rFonts w:eastAsia="Times New Roman" w:cs="Times New Roman"/>
        </w:rPr>
        <w:t>ing translated</w:t>
      </w:r>
      <w:r w:rsidRPr="00832FE4">
        <w:rPr>
          <w:rFonts w:eastAsia="Times New Roman" w:cs="Times New Roman"/>
        </w:rPr>
        <w:t xml:space="preserve"> into National Action Plans </w:t>
      </w:r>
      <w:r w:rsidR="00880AE3" w:rsidRPr="00832FE4">
        <w:rPr>
          <w:rFonts w:eastAsia="Times New Roman" w:cs="Times New Roman"/>
        </w:rPr>
        <w:t xml:space="preserve">by some </w:t>
      </w:r>
      <w:r w:rsidRPr="00832FE4">
        <w:rPr>
          <w:rFonts w:eastAsia="Times New Roman" w:cs="Times New Roman"/>
        </w:rPr>
        <w:t xml:space="preserve">Pacific member </w:t>
      </w:r>
      <w:r w:rsidR="00984878" w:rsidRPr="00832FE4">
        <w:rPr>
          <w:rFonts w:eastAsia="Times New Roman" w:cs="Times New Roman"/>
        </w:rPr>
        <w:t>countries</w:t>
      </w:r>
      <w:r w:rsidRPr="00832FE4">
        <w:rPr>
          <w:rFonts w:eastAsia="Times New Roman" w:cs="Times New Roman"/>
        </w:rPr>
        <w:t>.</w:t>
      </w:r>
    </w:p>
    <w:p w:rsidR="00FD321E" w:rsidRPr="00832FE4" w:rsidRDefault="00FD321E" w:rsidP="00F916CA">
      <w:pPr>
        <w:shd w:val="clear" w:color="auto" w:fill="FFFFFF"/>
        <w:spacing w:after="150" w:line="276" w:lineRule="auto"/>
        <w:jc w:val="both"/>
        <w:rPr>
          <w:rFonts w:eastAsia="Times New Roman" w:cs="Times New Roman"/>
          <w:b/>
          <w:i/>
        </w:rPr>
      </w:pPr>
      <w:r w:rsidRPr="00832FE4">
        <w:rPr>
          <w:rFonts w:eastAsia="Times New Roman" w:cs="Times New Roman"/>
          <w:b/>
          <w:i/>
        </w:rPr>
        <w:t>Guiding Principles to enhance Security Sector Governance in Pacific Island Forum countries</w:t>
      </w:r>
    </w:p>
    <w:p w:rsidR="00FD321E" w:rsidRPr="00832FE4" w:rsidRDefault="00FD321E" w:rsidP="00F916CA">
      <w:pPr>
        <w:tabs>
          <w:tab w:val="left" w:pos="930"/>
        </w:tabs>
        <w:spacing w:after="60" w:line="276" w:lineRule="auto"/>
        <w:jc w:val="both"/>
        <w:rPr>
          <w:rFonts w:cs="Times New Roman"/>
        </w:rPr>
      </w:pPr>
      <w:r w:rsidRPr="00832FE4">
        <w:rPr>
          <w:rFonts w:eastAsia="Times New Roman" w:cs="Times New Roman"/>
          <w:lang w:val="en-GB"/>
        </w:rPr>
        <w:t>The Pacific Islands Forum Secretariat and UNDP P</w:t>
      </w:r>
      <w:r w:rsidR="003C538D">
        <w:rPr>
          <w:rFonts w:eastAsia="Times New Roman" w:cs="Times New Roman"/>
          <w:lang w:val="en-GB"/>
        </w:rPr>
        <w:t>acific Centre</w:t>
      </w:r>
      <w:r w:rsidRPr="00832FE4">
        <w:rPr>
          <w:rFonts w:eastAsia="Times New Roman" w:cs="Times New Roman"/>
          <w:lang w:val="en-GB"/>
        </w:rPr>
        <w:t xml:space="preserve"> </w:t>
      </w:r>
      <w:r w:rsidR="00524FCF">
        <w:rPr>
          <w:rFonts w:eastAsia="Times New Roman" w:cs="Times New Roman"/>
          <w:lang w:val="en-GB"/>
        </w:rPr>
        <w:t xml:space="preserve">worked with PICS to </w:t>
      </w:r>
      <w:r w:rsidRPr="00832FE4">
        <w:rPr>
          <w:rFonts w:eastAsia="Times New Roman" w:cs="Times New Roman"/>
          <w:lang w:val="en-GB"/>
        </w:rPr>
        <w:t xml:space="preserve">develop </w:t>
      </w:r>
      <w:r w:rsidR="000B0887" w:rsidRPr="00832FE4">
        <w:rPr>
          <w:rFonts w:eastAsia="Times New Roman" w:cs="Times New Roman"/>
          <w:lang w:val="en-GB"/>
        </w:rPr>
        <w:t xml:space="preserve">a set of guiding principles for </w:t>
      </w:r>
      <w:r w:rsidRPr="00832FE4">
        <w:rPr>
          <w:rFonts w:eastAsia="Times New Roman" w:cs="Times New Roman"/>
          <w:lang w:val="en-GB"/>
        </w:rPr>
        <w:t>security sector governance in the Pacific region</w:t>
      </w:r>
      <w:r w:rsidR="007C702B">
        <w:rPr>
          <w:rFonts w:eastAsia="Times New Roman" w:cs="Times New Roman"/>
          <w:lang w:val="en-GB"/>
        </w:rPr>
        <w:t xml:space="preserve"> which were approved </w:t>
      </w:r>
      <w:r w:rsidR="00524FCF">
        <w:rPr>
          <w:rFonts w:eastAsia="Times New Roman" w:cs="Times New Roman"/>
          <w:lang w:val="en-GB"/>
        </w:rPr>
        <w:t xml:space="preserve">by Pacific Leaders </w:t>
      </w:r>
      <w:r w:rsidR="007C702B">
        <w:rPr>
          <w:rFonts w:eastAsia="Times New Roman" w:cs="Times New Roman"/>
          <w:lang w:val="en-GB"/>
        </w:rPr>
        <w:t>in August 2014</w:t>
      </w:r>
      <w:r w:rsidR="0080017B">
        <w:rPr>
          <w:rFonts w:eastAsia="Times New Roman" w:cs="Times New Roman"/>
          <w:lang w:val="en-GB"/>
        </w:rPr>
        <w:t xml:space="preserve"> as detailed at Annex 3.</w:t>
      </w:r>
      <w:r w:rsidRPr="00832FE4">
        <w:rPr>
          <w:rFonts w:eastAsia="Times New Roman" w:cs="Times New Roman"/>
          <w:lang w:val="en-GB"/>
        </w:rPr>
        <w:t xml:space="preserve"> Th</w:t>
      </w:r>
      <w:r w:rsidR="00524FCF">
        <w:rPr>
          <w:rFonts w:eastAsia="Times New Roman" w:cs="Times New Roman"/>
          <w:lang w:val="en-GB"/>
        </w:rPr>
        <w:t>e process of developing these principles</w:t>
      </w:r>
      <w:r w:rsidRPr="00832FE4">
        <w:rPr>
          <w:rFonts w:eastAsia="Times New Roman" w:cs="Times New Roman"/>
          <w:lang w:val="en-GB"/>
        </w:rPr>
        <w:t xml:space="preserve"> was informed by a series of </w:t>
      </w:r>
      <w:r w:rsidR="00524FCF">
        <w:rPr>
          <w:rFonts w:eastAsia="Times New Roman" w:cs="Times New Roman"/>
          <w:lang w:val="en-GB"/>
        </w:rPr>
        <w:t xml:space="preserve">national and regional </w:t>
      </w:r>
      <w:r w:rsidRPr="00832FE4">
        <w:rPr>
          <w:rFonts w:eastAsia="Times New Roman" w:cs="Times New Roman"/>
          <w:lang w:val="en-GB"/>
        </w:rPr>
        <w:t xml:space="preserve">consultations held in </w:t>
      </w:r>
      <w:r w:rsidR="007D4C2E">
        <w:rPr>
          <w:rFonts w:eastAsia="Times New Roman" w:cs="Times New Roman"/>
          <w:lang w:val="en-GB"/>
        </w:rPr>
        <w:t xml:space="preserve">various Pacific countries </w:t>
      </w:r>
      <w:r w:rsidR="00524FCF">
        <w:rPr>
          <w:rFonts w:eastAsia="Times New Roman" w:cs="Times New Roman"/>
          <w:lang w:val="en-GB"/>
        </w:rPr>
        <w:t>from 2008 onwards</w:t>
      </w:r>
      <w:r w:rsidRPr="00832FE4">
        <w:rPr>
          <w:rFonts w:eastAsia="Times New Roman" w:cs="Times New Roman"/>
          <w:lang w:val="en-GB"/>
        </w:rPr>
        <w:t xml:space="preserve">. The key principle is that </w:t>
      </w:r>
      <w:r w:rsidR="00AC33A0" w:rsidRPr="00832FE4">
        <w:rPr>
          <w:rFonts w:eastAsia="Times New Roman" w:cs="Times New Roman"/>
          <w:color w:val="000000"/>
          <w:lang w:val="en-GB"/>
        </w:rPr>
        <w:t>r</w:t>
      </w:r>
      <w:r w:rsidRPr="00832FE4">
        <w:rPr>
          <w:rFonts w:eastAsia="Times New Roman" w:cs="Times New Roman"/>
          <w:color w:val="000000"/>
          <w:lang w:val="en-GB"/>
        </w:rPr>
        <w:t>egional security</w:t>
      </w:r>
      <w:r w:rsidR="0073574E" w:rsidRPr="00832FE4">
        <w:rPr>
          <w:rFonts w:eastAsia="Times New Roman" w:cs="Times New Roman"/>
          <w:color w:val="000000"/>
          <w:lang w:val="en-GB"/>
        </w:rPr>
        <w:t xml:space="preserve"> and inadvertently security of i</w:t>
      </w:r>
      <w:r w:rsidRPr="00832FE4">
        <w:rPr>
          <w:rFonts w:eastAsia="Times New Roman" w:cs="Times New Roman"/>
          <w:color w:val="000000"/>
          <w:lang w:val="en-GB"/>
        </w:rPr>
        <w:t>sland nations is enhanced by national security policies that recognise the importance of maintaining a stable and secure region</w:t>
      </w:r>
      <w:r w:rsidR="00AC33A0" w:rsidRPr="00832FE4">
        <w:rPr>
          <w:rFonts w:eastAsia="Times New Roman" w:cs="Times New Roman"/>
          <w:color w:val="000000"/>
          <w:lang w:val="en-GB"/>
        </w:rPr>
        <w:t>,</w:t>
      </w:r>
      <w:r w:rsidRPr="00832FE4">
        <w:rPr>
          <w:rFonts w:eastAsia="Times New Roman" w:cs="Times New Roman"/>
          <w:color w:val="000000"/>
          <w:lang w:val="en-GB"/>
        </w:rPr>
        <w:t xml:space="preserve"> </w:t>
      </w:r>
      <w:r w:rsidR="0073574E" w:rsidRPr="00832FE4">
        <w:rPr>
          <w:rFonts w:eastAsia="Times New Roman" w:cs="Times New Roman"/>
          <w:color w:val="000000"/>
          <w:lang w:val="en-GB"/>
        </w:rPr>
        <w:t>through</w:t>
      </w:r>
      <w:r w:rsidRPr="00832FE4">
        <w:rPr>
          <w:rFonts w:eastAsia="Times New Roman" w:cs="Times New Roman"/>
          <w:color w:val="000000"/>
          <w:lang w:val="en-GB"/>
        </w:rPr>
        <w:t xml:space="preserve"> coordination and cooperation. Furthermore,</w:t>
      </w:r>
      <w:r w:rsidRPr="00832FE4">
        <w:rPr>
          <w:rFonts w:cs="Times New Roman"/>
        </w:rPr>
        <w:t xml:space="preserve"> t</w:t>
      </w:r>
      <w:r w:rsidRPr="00832FE4">
        <w:rPr>
          <w:rFonts w:eastAsia="Times New Roman" w:cs="Times New Roman"/>
          <w:lang w:val="en-GB"/>
        </w:rPr>
        <w:t xml:space="preserve">he active participation of </w:t>
      </w:r>
      <w:r w:rsidR="00AC33A0" w:rsidRPr="00832FE4">
        <w:rPr>
          <w:rFonts w:eastAsia="Times New Roman" w:cs="Times New Roman"/>
          <w:lang w:val="en-GB"/>
        </w:rPr>
        <w:t xml:space="preserve">parliaments, </w:t>
      </w:r>
      <w:r w:rsidRPr="00832FE4">
        <w:rPr>
          <w:rFonts w:eastAsia="Times New Roman" w:cs="Times New Roman"/>
          <w:lang w:val="en-GB"/>
        </w:rPr>
        <w:t xml:space="preserve">the media and civil society in security affairs is important to ensure the roles and actions of security services are well understood and accepted by all citizens. </w:t>
      </w:r>
    </w:p>
    <w:p w:rsidR="0080017B" w:rsidRDefault="0080017B" w:rsidP="00F916CA">
      <w:pPr>
        <w:autoSpaceDE w:val="0"/>
        <w:autoSpaceDN w:val="0"/>
        <w:adjustRightInd w:val="0"/>
        <w:spacing w:after="0" w:line="276" w:lineRule="auto"/>
        <w:jc w:val="both"/>
        <w:rPr>
          <w:rFonts w:eastAsia="Times New Roman" w:cs="Times New Roman"/>
          <w:color w:val="000000"/>
          <w:lang w:val="en-GB"/>
        </w:rPr>
      </w:pPr>
    </w:p>
    <w:p w:rsidR="0092053F" w:rsidRPr="00832FE4" w:rsidRDefault="0092053F" w:rsidP="00F916CA">
      <w:pPr>
        <w:autoSpaceDE w:val="0"/>
        <w:autoSpaceDN w:val="0"/>
        <w:adjustRightInd w:val="0"/>
        <w:spacing w:after="0" w:line="276" w:lineRule="auto"/>
        <w:jc w:val="both"/>
        <w:rPr>
          <w:rFonts w:cs="Times New Roman"/>
        </w:rPr>
      </w:pPr>
      <w:r w:rsidRPr="00832FE4">
        <w:rPr>
          <w:rFonts w:cs="Times New Roman"/>
        </w:rPr>
        <w:t xml:space="preserve">The Pacific Leaders and the Forum Regional Security Committee (FRSC) have encouraged Pacific Island countries to develop National Security Policies (NSPs) that will provide an overarching framework to address the security needs of the people and the state. The NSP once developed will give a common and agreed understanding of national core values, interests and threats, and will clarify and prioritize the roles and responsibilities of the executive, legislature, judiciary, accountability institutions, media, and civil society and security sector institutions. </w:t>
      </w:r>
      <w:r w:rsidR="007D4C2E">
        <w:rPr>
          <w:rFonts w:cs="Times New Roman"/>
        </w:rPr>
        <w:t xml:space="preserve">The NSPs are intended to </w:t>
      </w:r>
      <w:r w:rsidRPr="00832FE4">
        <w:rPr>
          <w:rFonts w:cs="Times New Roman"/>
        </w:rPr>
        <w:t>promote and foster trust between government institutions, various stakeholders and the public.</w:t>
      </w:r>
    </w:p>
    <w:p w:rsidR="00574BE9" w:rsidRPr="00832FE4" w:rsidRDefault="00574BE9" w:rsidP="00F916CA">
      <w:pPr>
        <w:tabs>
          <w:tab w:val="left" w:pos="930"/>
        </w:tabs>
        <w:spacing w:after="60" w:line="276" w:lineRule="auto"/>
        <w:ind w:left="450"/>
        <w:contextualSpacing/>
        <w:jc w:val="both"/>
        <w:rPr>
          <w:rFonts w:eastAsia="Times New Roman" w:cs="Times New Roman"/>
          <w:b/>
          <w:lang w:val="en-GB"/>
        </w:rPr>
      </w:pPr>
    </w:p>
    <w:p w:rsidR="007119E0" w:rsidRPr="00832FE4" w:rsidRDefault="007119E0" w:rsidP="00F916CA">
      <w:pPr>
        <w:tabs>
          <w:tab w:val="left" w:pos="90"/>
        </w:tabs>
        <w:autoSpaceDE w:val="0"/>
        <w:autoSpaceDN w:val="0"/>
        <w:adjustRightInd w:val="0"/>
        <w:spacing w:after="0" w:line="276" w:lineRule="auto"/>
        <w:jc w:val="both"/>
        <w:rPr>
          <w:rFonts w:eastAsia="Times New Roman" w:cs="Times New Roman"/>
          <w:b/>
          <w:i/>
          <w:lang w:val="en-GB"/>
        </w:rPr>
      </w:pPr>
      <w:r w:rsidRPr="00832FE4">
        <w:rPr>
          <w:rFonts w:eastAsia="Times New Roman" w:cs="Times New Roman"/>
          <w:b/>
          <w:i/>
          <w:lang w:val="en-GB"/>
        </w:rPr>
        <w:t>Women and Youth Organisations</w:t>
      </w:r>
    </w:p>
    <w:p w:rsidR="007119E0" w:rsidRDefault="007119E0" w:rsidP="00F916CA">
      <w:pPr>
        <w:tabs>
          <w:tab w:val="left" w:pos="90"/>
        </w:tabs>
        <w:autoSpaceDE w:val="0"/>
        <w:autoSpaceDN w:val="0"/>
        <w:adjustRightInd w:val="0"/>
        <w:spacing w:after="0" w:line="276" w:lineRule="auto"/>
        <w:jc w:val="both"/>
        <w:rPr>
          <w:rFonts w:eastAsia="Times New Roman" w:cs="Times New Roman"/>
          <w:lang w:val="en-GB"/>
        </w:rPr>
      </w:pPr>
    </w:p>
    <w:p w:rsidR="007119E0" w:rsidRDefault="007119E0" w:rsidP="00F916CA">
      <w:pPr>
        <w:autoSpaceDE w:val="0"/>
        <w:autoSpaceDN w:val="0"/>
        <w:adjustRightInd w:val="0"/>
        <w:spacing w:after="0" w:line="276" w:lineRule="auto"/>
        <w:jc w:val="both"/>
        <w:rPr>
          <w:rFonts w:cs="Times New Roman"/>
        </w:rPr>
      </w:pPr>
      <w:r w:rsidRPr="00832FE4">
        <w:rPr>
          <w:rFonts w:eastAsia="Times New Roman" w:cs="Times New Roman"/>
          <w:lang w:val="en"/>
        </w:rPr>
        <w:t>In 1995, the Beijing Declaration and Platform for Action was adopted by the Fourth World Conference on Women, and subsequently endorsed by the United Nations General Assembly in 1996. The Beijing Platform for Action constitutes a global framework for realizing gender equality and the empowerment of women and girls</w:t>
      </w:r>
      <w:r w:rsidR="002D447C">
        <w:rPr>
          <w:rFonts w:eastAsia="Times New Roman" w:cs="Times New Roman"/>
          <w:lang w:val="en"/>
        </w:rPr>
        <w:t>.</w:t>
      </w:r>
      <w:r w:rsidR="002D447C">
        <w:rPr>
          <w:rFonts w:eastAsia="Times New Roman" w:cs="Times New Roman"/>
          <w:vertAlign w:val="superscript"/>
          <w:lang w:val="en"/>
        </w:rPr>
        <w:t xml:space="preserve">  </w:t>
      </w:r>
      <w:r w:rsidRPr="00832FE4">
        <w:rPr>
          <w:rFonts w:eastAsia="Times New Roman" w:cs="Times New Roman"/>
          <w:lang w:val="en"/>
        </w:rPr>
        <w:t xml:space="preserve">The </w:t>
      </w:r>
      <w:r w:rsidR="002D447C">
        <w:rPr>
          <w:rFonts w:eastAsia="Times New Roman" w:cs="Times New Roman"/>
          <w:lang w:val="en"/>
        </w:rPr>
        <w:t>previous</w:t>
      </w:r>
      <w:r w:rsidR="000C6EF0">
        <w:rPr>
          <w:rFonts w:eastAsia="Times New Roman" w:cs="Times New Roman"/>
          <w:lang w:val="en"/>
        </w:rPr>
        <w:t xml:space="preserve"> Strengthening Capacities for Peace and Development (</w:t>
      </w:r>
      <w:r w:rsidRPr="00832FE4">
        <w:rPr>
          <w:rFonts w:eastAsia="Times New Roman" w:cs="Times New Roman"/>
          <w:lang w:val="en"/>
        </w:rPr>
        <w:t>C-PaD</w:t>
      </w:r>
      <w:r w:rsidR="000C6EF0">
        <w:rPr>
          <w:rFonts w:eastAsia="Times New Roman" w:cs="Times New Roman"/>
          <w:lang w:val="en"/>
        </w:rPr>
        <w:t>)</w:t>
      </w:r>
      <w:r w:rsidRPr="00832FE4">
        <w:rPr>
          <w:rFonts w:eastAsia="Times New Roman" w:cs="Times New Roman"/>
          <w:lang w:val="en"/>
        </w:rPr>
        <w:t xml:space="preserve"> pr</w:t>
      </w:r>
      <w:r w:rsidR="002D447C">
        <w:rPr>
          <w:rFonts w:eastAsia="Times New Roman" w:cs="Times New Roman"/>
          <w:lang w:val="en"/>
        </w:rPr>
        <w:t xml:space="preserve">oject of the Pacific Centre aimed to foster </w:t>
      </w:r>
      <w:r w:rsidRPr="00832FE4">
        <w:rPr>
          <w:rFonts w:eastAsia="Times New Roman" w:cs="Times New Roman"/>
          <w:lang w:val="en"/>
        </w:rPr>
        <w:t>women’s groups’ engagem</w:t>
      </w:r>
      <w:r w:rsidR="002D447C">
        <w:rPr>
          <w:rFonts w:eastAsia="Times New Roman" w:cs="Times New Roman"/>
          <w:lang w:val="en"/>
        </w:rPr>
        <w:t xml:space="preserve">ent with the Government in Fiji to </w:t>
      </w:r>
      <w:r w:rsidRPr="00832FE4">
        <w:rPr>
          <w:rFonts w:cs="Times New Roman"/>
        </w:rPr>
        <w:t xml:space="preserve">open a window of opportunity to integrate gender issues and increase the participation of women in security sector discourse. </w:t>
      </w:r>
    </w:p>
    <w:p w:rsidR="002578B5" w:rsidRDefault="002578B5" w:rsidP="00F916CA">
      <w:pPr>
        <w:autoSpaceDE w:val="0"/>
        <w:autoSpaceDN w:val="0"/>
        <w:adjustRightInd w:val="0"/>
        <w:spacing w:after="0" w:line="276" w:lineRule="auto"/>
        <w:jc w:val="both"/>
        <w:rPr>
          <w:rFonts w:cs="Times New Roman"/>
        </w:rPr>
      </w:pPr>
    </w:p>
    <w:p w:rsidR="002578B5" w:rsidRDefault="002578B5" w:rsidP="00F916CA">
      <w:pPr>
        <w:autoSpaceDE w:val="0"/>
        <w:autoSpaceDN w:val="0"/>
        <w:adjustRightInd w:val="0"/>
        <w:spacing w:after="0" w:line="276" w:lineRule="auto"/>
        <w:jc w:val="both"/>
        <w:rPr>
          <w:rFonts w:cs="Times New Roman"/>
        </w:rPr>
      </w:pPr>
      <w:r>
        <w:rPr>
          <w:rFonts w:cs="Times New Roman"/>
        </w:rPr>
        <w:t xml:space="preserve">In July 2015 UNDP in collaboration with the University of </w:t>
      </w:r>
      <w:r w:rsidR="007D4C2E">
        <w:rPr>
          <w:rFonts w:cs="Times New Roman"/>
        </w:rPr>
        <w:t xml:space="preserve">the </w:t>
      </w:r>
      <w:r>
        <w:rPr>
          <w:rFonts w:cs="Times New Roman"/>
        </w:rPr>
        <w:t>South Pacific and the University of Canterbury he</w:t>
      </w:r>
      <w:r w:rsidR="007D4C2E">
        <w:rPr>
          <w:rFonts w:cs="Times New Roman"/>
        </w:rPr>
        <w:t>ld</w:t>
      </w:r>
      <w:r>
        <w:rPr>
          <w:rFonts w:cs="Times New Roman"/>
        </w:rPr>
        <w:t xml:space="preserve"> a two day symposium in Fiji on ‘Security partnerships: Future challenges for Fiji’</w:t>
      </w:r>
      <w:r w:rsidR="00AC580D">
        <w:rPr>
          <w:rFonts w:cs="Times New Roman"/>
        </w:rPr>
        <w:t xml:space="preserve"> to discuss the conceptualization of a country-specific definition of security.    The symposium involved legislators, senior civil servants, security officers, civil society actors, academics, youth representatives and members of the international community with discussions bringing to the fore the multiple facets of security.</w:t>
      </w:r>
    </w:p>
    <w:p w:rsidR="007119E0" w:rsidRPr="00832FE4" w:rsidRDefault="007119E0" w:rsidP="00F916CA">
      <w:pPr>
        <w:autoSpaceDE w:val="0"/>
        <w:autoSpaceDN w:val="0"/>
        <w:adjustRightInd w:val="0"/>
        <w:spacing w:after="0" w:line="276" w:lineRule="auto"/>
        <w:jc w:val="both"/>
        <w:rPr>
          <w:rFonts w:cs="Times New Roman"/>
        </w:rPr>
      </w:pPr>
    </w:p>
    <w:p w:rsidR="007119E0" w:rsidRDefault="007119E0" w:rsidP="004E000A">
      <w:pPr>
        <w:spacing w:after="60" w:line="276" w:lineRule="auto"/>
        <w:jc w:val="both"/>
        <w:rPr>
          <w:rFonts w:cs="Times New Roman"/>
        </w:rPr>
      </w:pPr>
      <w:r w:rsidRPr="00832FE4">
        <w:rPr>
          <w:rFonts w:cs="Times New Roman"/>
        </w:rPr>
        <w:t>Bridging the divide between the youth and political leadership is now  gaining momentum in some PICS for instance in Fiji after the elections of 17 September</w:t>
      </w:r>
      <w:r w:rsidR="00C8761F">
        <w:rPr>
          <w:rFonts w:cs="Times New Roman"/>
        </w:rPr>
        <w:t xml:space="preserve"> 2014</w:t>
      </w:r>
      <w:r w:rsidRPr="00832FE4">
        <w:rPr>
          <w:rFonts w:cs="Times New Roman"/>
        </w:rPr>
        <w:t>, the Strengthening Citizens Engagemen</w:t>
      </w:r>
      <w:r w:rsidR="002D447C">
        <w:rPr>
          <w:rFonts w:cs="Times New Roman"/>
        </w:rPr>
        <w:t>t in Fiji Initiative (SCEFI) funded by the</w:t>
      </w:r>
      <w:r w:rsidRPr="00832FE4">
        <w:rPr>
          <w:rFonts w:cs="Times New Roman"/>
        </w:rPr>
        <w:t xml:space="preserve"> European Union (EU) supported six national youth forums around the country. The forums with the theme of </w:t>
      </w:r>
      <w:r w:rsidRPr="002D447C">
        <w:rPr>
          <w:rFonts w:cs="Times New Roman"/>
        </w:rPr>
        <w:t>‘Youth Voices in Transition 2014’,</w:t>
      </w:r>
      <w:r w:rsidRPr="00832FE4">
        <w:rPr>
          <w:rFonts w:cs="Times New Roman"/>
        </w:rPr>
        <w:t xml:space="preserve"> brought together more than 300 youth from around </w:t>
      </w:r>
      <w:r w:rsidR="00C8761F">
        <w:rPr>
          <w:rFonts w:cs="Times New Roman"/>
        </w:rPr>
        <w:t xml:space="preserve">Fiji </w:t>
      </w:r>
      <w:r w:rsidRPr="00832FE4">
        <w:rPr>
          <w:rFonts w:cs="Times New Roman"/>
        </w:rPr>
        <w:t xml:space="preserve">to discuss youth-related issues, and their expectations for involvement in decision making on governance. The outcomes of the youth forums and the reviewed National Youth Policy </w:t>
      </w:r>
      <w:r w:rsidR="002D447C">
        <w:rPr>
          <w:rFonts w:cs="Times New Roman"/>
        </w:rPr>
        <w:t>were presented by the Fiji Mi</w:t>
      </w:r>
      <w:r w:rsidR="00721B4F">
        <w:rPr>
          <w:rFonts w:cs="Times New Roman"/>
        </w:rPr>
        <w:t xml:space="preserve">nister of Youth </w:t>
      </w:r>
      <w:r w:rsidR="002D447C">
        <w:rPr>
          <w:rFonts w:cs="Times New Roman"/>
        </w:rPr>
        <w:t xml:space="preserve">to the first Pacific Regional Commonwealth Youth Ministers meeting in September 2014 </w:t>
      </w:r>
      <w:r w:rsidR="00A14679">
        <w:rPr>
          <w:rFonts w:cs="Times New Roman"/>
        </w:rPr>
        <w:t>held in</w:t>
      </w:r>
      <w:r w:rsidR="002D447C">
        <w:rPr>
          <w:rFonts w:cs="Times New Roman"/>
        </w:rPr>
        <w:t xml:space="preserve"> Samoa. </w:t>
      </w:r>
      <w:r w:rsidR="002578B5">
        <w:rPr>
          <w:rFonts w:cs="Times New Roman"/>
        </w:rPr>
        <w:t xml:space="preserve">   </w:t>
      </w:r>
    </w:p>
    <w:p w:rsidR="007119E0" w:rsidRDefault="007119E0" w:rsidP="00F916CA">
      <w:pPr>
        <w:pStyle w:val="NoSpacing"/>
        <w:spacing w:line="276" w:lineRule="auto"/>
        <w:rPr>
          <w:b/>
          <w:i/>
        </w:rPr>
      </w:pPr>
    </w:p>
    <w:p w:rsidR="007119E0" w:rsidRDefault="007119E0" w:rsidP="00F916CA">
      <w:pPr>
        <w:pStyle w:val="NoSpacing"/>
        <w:spacing w:line="276" w:lineRule="auto"/>
        <w:rPr>
          <w:b/>
          <w:i/>
        </w:rPr>
      </w:pPr>
      <w:r w:rsidRPr="00832FE4">
        <w:rPr>
          <w:b/>
          <w:i/>
        </w:rPr>
        <w:t>Security Sector Management and Oversight Bodies</w:t>
      </w:r>
    </w:p>
    <w:p w:rsidR="007119E0" w:rsidRDefault="007119E0" w:rsidP="00F916CA">
      <w:pPr>
        <w:pStyle w:val="NoSpacing"/>
        <w:spacing w:line="276" w:lineRule="auto"/>
        <w:rPr>
          <w:b/>
          <w:i/>
        </w:rPr>
      </w:pPr>
    </w:p>
    <w:p w:rsidR="007119E0" w:rsidRDefault="007119E0" w:rsidP="00A14679">
      <w:pPr>
        <w:pStyle w:val="NoSpacing"/>
        <w:spacing w:line="276" w:lineRule="auto"/>
        <w:jc w:val="both"/>
        <w:rPr>
          <w:rFonts w:eastAsia="Times New Roman" w:cs="Times New Roman"/>
          <w:lang w:val="en"/>
        </w:rPr>
      </w:pPr>
      <w:r w:rsidRPr="00832FE4">
        <w:rPr>
          <w:rFonts w:eastAsia="Times New Roman" w:cs="Times New Roman"/>
          <w:lang w:val="en"/>
        </w:rPr>
        <w:t>Democratic oversight of the security sector is a fundamental requirement for the promotion of transparency and accountability and their management by the executive branch of government. In principle the</w:t>
      </w:r>
      <w:r w:rsidR="007D4C2E">
        <w:rPr>
          <w:rFonts w:eastAsia="Times New Roman" w:cs="Times New Roman"/>
          <w:lang w:val="en"/>
        </w:rPr>
        <w:t xml:space="preserve"> security sector should </w:t>
      </w:r>
      <w:r w:rsidRPr="00832FE4">
        <w:rPr>
          <w:rFonts w:eastAsia="Times New Roman" w:cs="Times New Roman"/>
          <w:lang w:val="en"/>
        </w:rPr>
        <w:t xml:space="preserve">be independent, thoroughly understand </w:t>
      </w:r>
      <w:r w:rsidR="007D4C2E">
        <w:rPr>
          <w:rFonts w:eastAsia="Times New Roman" w:cs="Times New Roman"/>
          <w:lang w:val="en"/>
        </w:rPr>
        <w:t>its</w:t>
      </w:r>
      <w:r w:rsidRPr="00832FE4">
        <w:rPr>
          <w:rFonts w:eastAsia="Times New Roman" w:cs="Times New Roman"/>
          <w:lang w:val="en"/>
        </w:rPr>
        <w:t xml:space="preserve"> roles and responsibilities and must be well resourced. Security Oversight and Management Bodies include the Parliaments, Office of the Ombudsman, the Judiciary, Auditor General’s office, Civil Society and the Media. The legislature</w:t>
      </w:r>
      <w:r w:rsidR="007D4C2E">
        <w:rPr>
          <w:rFonts w:eastAsia="Times New Roman" w:cs="Times New Roman"/>
          <w:lang w:val="en"/>
        </w:rPr>
        <w:t>’s role</w:t>
      </w:r>
      <w:r w:rsidRPr="00832FE4">
        <w:rPr>
          <w:rFonts w:eastAsia="Times New Roman" w:cs="Times New Roman"/>
          <w:lang w:val="en"/>
        </w:rPr>
        <w:t xml:space="preserve"> is to ensure that security institutions address </w:t>
      </w:r>
      <w:r w:rsidR="007D4C2E">
        <w:rPr>
          <w:rFonts w:eastAsia="Times New Roman" w:cs="Times New Roman"/>
          <w:lang w:val="en"/>
        </w:rPr>
        <w:t xml:space="preserve">the </w:t>
      </w:r>
      <w:r w:rsidRPr="00832FE4">
        <w:rPr>
          <w:rFonts w:eastAsia="Times New Roman" w:cs="Times New Roman"/>
          <w:lang w:val="en"/>
        </w:rPr>
        <w:t xml:space="preserve">real security concerns of the </w:t>
      </w:r>
      <w:r w:rsidR="007D4C2E">
        <w:rPr>
          <w:rFonts w:eastAsia="Times New Roman" w:cs="Times New Roman"/>
          <w:lang w:val="en"/>
        </w:rPr>
        <w:t xml:space="preserve">country and its </w:t>
      </w:r>
      <w:r w:rsidRPr="00832FE4">
        <w:rPr>
          <w:rFonts w:eastAsia="Times New Roman" w:cs="Times New Roman"/>
          <w:lang w:val="en"/>
        </w:rPr>
        <w:t>people and that tax and other resources are used for the intended purposes. The rule of law and human rights must be upheld at all times.</w:t>
      </w:r>
    </w:p>
    <w:p w:rsidR="00A14679" w:rsidRPr="00A14679" w:rsidRDefault="00A14679" w:rsidP="00A14679">
      <w:pPr>
        <w:pStyle w:val="NoSpacing"/>
        <w:spacing w:line="276" w:lineRule="auto"/>
        <w:jc w:val="both"/>
      </w:pPr>
    </w:p>
    <w:p w:rsidR="007119E0" w:rsidRPr="00832FE4" w:rsidRDefault="007119E0" w:rsidP="00F916CA">
      <w:pPr>
        <w:spacing w:line="276" w:lineRule="auto"/>
        <w:jc w:val="both"/>
        <w:rPr>
          <w:rFonts w:eastAsia="Times New Roman" w:cs="Times New Roman"/>
          <w:lang w:val="en"/>
        </w:rPr>
      </w:pPr>
      <w:r w:rsidRPr="00832FE4">
        <w:rPr>
          <w:rFonts w:eastAsia="Times New Roman" w:cs="Times New Roman"/>
          <w:lang w:val="en"/>
        </w:rPr>
        <w:t xml:space="preserve">In the Pacific region, there is </w:t>
      </w:r>
      <w:r w:rsidR="007D4C2E">
        <w:rPr>
          <w:rFonts w:eastAsia="Times New Roman" w:cs="Times New Roman"/>
          <w:lang w:val="en"/>
        </w:rPr>
        <w:t xml:space="preserve">a </w:t>
      </w:r>
      <w:r w:rsidRPr="00832FE4">
        <w:rPr>
          <w:rFonts w:eastAsia="Times New Roman" w:cs="Times New Roman"/>
          <w:lang w:val="en"/>
        </w:rPr>
        <w:t xml:space="preserve">variation in </w:t>
      </w:r>
      <w:r w:rsidR="007D4C2E">
        <w:rPr>
          <w:rFonts w:eastAsia="Times New Roman" w:cs="Times New Roman"/>
          <w:lang w:val="en"/>
        </w:rPr>
        <w:t xml:space="preserve">the </w:t>
      </w:r>
      <w:r w:rsidRPr="00832FE4">
        <w:rPr>
          <w:rFonts w:eastAsia="Times New Roman" w:cs="Times New Roman"/>
          <w:lang w:val="en"/>
        </w:rPr>
        <w:t>size of the legislature</w:t>
      </w:r>
      <w:r w:rsidR="007D4C2E">
        <w:rPr>
          <w:rFonts w:eastAsia="Times New Roman" w:cs="Times New Roman"/>
          <w:lang w:val="en"/>
        </w:rPr>
        <w:t>s</w:t>
      </w:r>
      <w:r w:rsidRPr="00832FE4">
        <w:rPr>
          <w:rFonts w:eastAsia="Times New Roman" w:cs="Times New Roman"/>
          <w:lang w:val="en"/>
        </w:rPr>
        <w:t>. Numbers vary from 33 in Tonga</w:t>
      </w:r>
      <w:r w:rsidR="00A14679">
        <w:rPr>
          <w:rFonts w:eastAsia="Times New Roman" w:cs="Times New Roman"/>
          <w:lang w:val="en"/>
        </w:rPr>
        <w:t>, 50 in Fiji</w:t>
      </w:r>
      <w:r w:rsidRPr="00832FE4">
        <w:rPr>
          <w:rFonts w:eastAsia="Times New Roman" w:cs="Times New Roman"/>
          <w:lang w:val="en"/>
        </w:rPr>
        <w:t xml:space="preserve"> to </w:t>
      </w:r>
      <w:r w:rsidR="00A14679">
        <w:rPr>
          <w:rFonts w:eastAsia="Times New Roman" w:cs="Times New Roman"/>
          <w:lang w:val="en"/>
        </w:rPr>
        <w:t>109 in PNG</w:t>
      </w:r>
      <w:r w:rsidRPr="00832FE4">
        <w:rPr>
          <w:rFonts w:eastAsia="Times New Roman" w:cs="Times New Roman"/>
          <w:lang w:val="en"/>
        </w:rPr>
        <w:t xml:space="preserve">. Parliament in many of the PICS have not been providing the required oversight to the security sector due to innumerable factors ranging from lack  of resources, staffing for committee </w:t>
      </w:r>
      <w:r w:rsidR="00A14679">
        <w:rPr>
          <w:rFonts w:eastAsia="Times New Roman" w:cs="Times New Roman"/>
          <w:lang w:val="en"/>
        </w:rPr>
        <w:t xml:space="preserve">secretariats and paucity of security sector governance </w:t>
      </w:r>
      <w:r w:rsidRPr="00832FE4">
        <w:rPr>
          <w:rFonts w:eastAsia="Times New Roman" w:cs="Times New Roman"/>
          <w:lang w:val="en"/>
        </w:rPr>
        <w:t>knowledge.</w:t>
      </w:r>
    </w:p>
    <w:p w:rsidR="007119E0" w:rsidRDefault="00A14679" w:rsidP="00F916CA">
      <w:pPr>
        <w:spacing w:line="276" w:lineRule="auto"/>
        <w:jc w:val="both"/>
        <w:rPr>
          <w:rFonts w:eastAsia="Times New Roman" w:cs="Times New Roman"/>
          <w:lang w:val="en"/>
        </w:rPr>
      </w:pPr>
      <w:r>
        <w:rPr>
          <w:rFonts w:eastAsia="Times New Roman" w:cs="Times New Roman"/>
          <w:lang w:val="en-GB"/>
        </w:rPr>
        <w:t xml:space="preserve">There are currently four </w:t>
      </w:r>
      <w:r w:rsidR="007119E0" w:rsidRPr="00832FE4">
        <w:rPr>
          <w:rFonts w:eastAsia="Times New Roman" w:cs="Times New Roman"/>
          <w:lang w:val="en-GB"/>
        </w:rPr>
        <w:t>national parliamentary Projects</w:t>
      </w:r>
      <w:r w:rsidR="0080017B">
        <w:rPr>
          <w:rFonts w:eastAsia="Times New Roman" w:cs="Times New Roman"/>
          <w:lang w:val="en-GB"/>
        </w:rPr>
        <w:t xml:space="preserve"> supported by UNDP</w:t>
      </w:r>
      <w:r w:rsidR="007119E0" w:rsidRPr="00832FE4">
        <w:rPr>
          <w:rFonts w:eastAsia="Times New Roman" w:cs="Times New Roman"/>
          <w:lang w:val="en-GB"/>
        </w:rPr>
        <w:t xml:space="preserve"> in the Pacific – </w:t>
      </w:r>
      <w:r w:rsidR="007D4C2E">
        <w:rPr>
          <w:rFonts w:eastAsia="Times New Roman" w:cs="Times New Roman"/>
          <w:lang w:val="en-GB"/>
        </w:rPr>
        <w:t xml:space="preserve">in </w:t>
      </w:r>
      <w:r w:rsidR="007119E0" w:rsidRPr="00832FE4">
        <w:rPr>
          <w:rFonts w:eastAsia="Times New Roman" w:cs="Times New Roman"/>
          <w:lang w:val="en-GB"/>
        </w:rPr>
        <w:t>Fiji, Samoa, Tonga,</w:t>
      </w:r>
      <w:r>
        <w:rPr>
          <w:rFonts w:eastAsia="Times New Roman" w:cs="Times New Roman"/>
          <w:lang w:val="en-GB"/>
        </w:rPr>
        <w:t xml:space="preserve"> and Solomon Islands and</w:t>
      </w:r>
      <w:r w:rsidR="007119E0" w:rsidRPr="00832FE4">
        <w:rPr>
          <w:rFonts w:eastAsia="Times New Roman" w:cs="Times New Roman"/>
          <w:lang w:val="en-GB"/>
        </w:rPr>
        <w:t xml:space="preserve"> discussion with the Parliaments of PNG and Vanuatu </w:t>
      </w:r>
      <w:r>
        <w:rPr>
          <w:rFonts w:eastAsia="Times New Roman" w:cs="Times New Roman"/>
          <w:lang w:val="en-GB"/>
        </w:rPr>
        <w:t xml:space="preserve">for </w:t>
      </w:r>
      <w:r w:rsidR="007119E0" w:rsidRPr="00832FE4">
        <w:rPr>
          <w:rFonts w:eastAsia="Times New Roman" w:cs="Times New Roman"/>
          <w:lang w:val="en-GB"/>
        </w:rPr>
        <w:t>their respective national UNDP Parliamentary Support projects. There are smaller support projects for Parliaments in Kiribati, and Tuvalu.</w:t>
      </w:r>
    </w:p>
    <w:p w:rsidR="007119E0" w:rsidRDefault="007119E0" w:rsidP="00F916CA">
      <w:pPr>
        <w:spacing w:line="276" w:lineRule="auto"/>
        <w:jc w:val="both"/>
        <w:rPr>
          <w:rFonts w:eastAsia="Times New Roman" w:cs="Times New Roman"/>
          <w:lang w:val="en"/>
        </w:rPr>
      </w:pPr>
      <w:r w:rsidRPr="00832FE4">
        <w:rPr>
          <w:rFonts w:eastAsia="Times New Roman" w:cs="Times New Roman"/>
        </w:rPr>
        <w:t>The focus of the</w:t>
      </w:r>
      <w:r w:rsidR="007D4C2E">
        <w:rPr>
          <w:rFonts w:eastAsia="Times New Roman" w:cs="Times New Roman"/>
        </w:rPr>
        <w:t>se</w:t>
      </w:r>
      <w:r w:rsidRPr="00832FE4">
        <w:rPr>
          <w:rFonts w:eastAsia="Times New Roman" w:cs="Times New Roman"/>
        </w:rPr>
        <w:t xml:space="preserve"> national parliamentary support projects is to provide technical assistance to the Office of the Speaker and the Office of the Clerk on strengthening administrative and procedural processes of Parliament, provide guidance on the work of the Committees according to the </w:t>
      </w:r>
      <w:r w:rsidR="00A14679">
        <w:rPr>
          <w:rFonts w:eastAsia="Times New Roman" w:cs="Times New Roman"/>
        </w:rPr>
        <w:t>Sanding O</w:t>
      </w:r>
      <w:r w:rsidRPr="00832FE4">
        <w:rPr>
          <w:rFonts w:eastAsia="Times New Roman" w:cs="Times New Roman"/>
        </w:rPr>
        <w:t>rders of the Parliament, and coordinate the support from develop</w:t>
      </w:r>
      <w:r w:rsidR="00A14679">
        <w:rPr>
          <w:rFonts w:eastAsia="Times New Roman" w:cs="Times New Roman"/>
        </w:rPr>
        <w:t>ment partners to Parliament. The current project</w:t>
      </w:r>
      <w:r w:rsidR="007D4C2E">
        <w:rPr>
          <w:rFonts w:eastAsia="Times New Roman" w:cs="Times New Roman"/>
        </w:rPr>
        <w:t xml:space="preserve"> on SSG</w:t>
      </w:r>
      <w:r w:rsidR="00A14679">
        <w:rPr>
          <w:rFonts w:eastAsia="Times New Roman" w:cs="Times New Roman"/>
        </w:rPr>
        <w:t xml:space="preserve"> will have </w:t>
      </w:r>
      <w:r w:rsidRPr="00832FE4">
        <w:rPr>
          <w:rFonts w:eastAsia="Times New Roman" w:cs="Times New Roman"/>
        </w:rPr>
        <w:t>strong linkages with existing parliamentary projects in the target countries in provision of training on Security Sector Governance, especially oversight and management of the security sector.</w:t>
      </w:r>
    </w:p>
    <w:p w:rsidR="007119E0" w:rsidRPr="004F1CBB" w:rsidRDefault="007119E0" w:rsidP="00F916CA">
      <w:pPr>
        <w:spacing w:line="276" w:lineRule="auto"/>
        <w:jc w:val="both"/>
        <w:rPr>
          <w:rFonts w:eastAsia="Times New Roman" w:cs="Times New Roman"/>
          <w:lang w:val="en"/>
        </w:rPr>
      </w:pPr>
      <w:r w:rsidRPr="00832FE4">
        <w:rPr>
          <w:rFonts w:eastAsia="Times New Roman" w:cs="Times New Roman"/>
        </w:rPr>
        <w:t xml:space="preserve">Whist Ombudsmen Institutions have a significant role to play in providing oversight and management of the security sector, such offices have not been given the full support they require by some Pacific Island countries. These offices are meant to protect the public against human rights violations, abuse of power and maladministration by the security sector. PNG has a functional and effective Ombudsman Commission and Tonga a Public Relations Commissioner. Fiji is yet to re-appoint an Ombudsman, and Solomon Islands does have one in the office of the Prime Minister. The project will engage with these offices in the target countries to help build capacity for effective discharge of oversight responsibilities. </w:t>
      </w:r>
    </w:p>
    <w:p w:rsidR="004C49DD" w:rsidRPr="00586505" w:rsidRDefault="004C49DD" w:rsidP="00A14679">
      <w:pPr>
        <w:tabs>
          <w:tab w:val="left" w:pos="930"/>
        </w:tabs>
        <w:spacing w:after="60" w:line="276" w:lineRule="auto"/>
        <w:contextualSpacing/>
        <w:jc w:val="both"/>
        <w:rPr>
          <w:rFonts w:eastAsia="Times New Roman" w:cs="Times New Roman"/>
          <w:sz w:val="24"/>
          <w:szCs w:val="24"/>
          <w:lang w:val="en-GB"/>
        </w:rPr>
      </w:pPr>
    </w:p>
    <w:p w:rsidR="00FD321E" w:rsidRPr="00BB12B0" w:rsidRDefault="00FD321E" w:rsidP="00F916CA">
      <w:pPr>
        <w:pStyle w:val="ListParagraph"/>
        <w:numPr>
          <w:ilvl w:val="0"/>
          <w:numId w:val="25"/>
        </w:numPr>
        <w:tabs>
          <w:tab w:val="left" w:pos="930"/>
        </w:tabs>
        <w:spacing w:after="60" w:line="276" w:lineRule="auto"/>
        <w:jc w:val="both"/>
        <w:rPr>
          <w:rFonts w:eastAsia="Times New Roman" w:cs="Times New Roman"/>
          <w:b/>
          <w:sz w:val="24"/>
          <w:szCs w:val="24"/>
          <w:lang w:val="en-GB"/>
        </w:rPr>
      </w:pPr>
      <w:r w:rsidRPr="00BB12B0">
        <w:rPr>
          <w:rFonts w:eastAsia="Times New Roman" w:cs="Times New Roman"/>
          <w:b/>
          <w:sz w:val="24"/>
          <w:szCs w:val="24"/>
          <w:lang w:val="en-GB"/>
        </w:rPr>
        <w:t xml:space="preserve">United Nations involvement in Security Sector Governance initiatives globally and in the Pacific Region </w:t>
      </w:r>
    </w:p>
    <w:p w:rsidR="00574BE9" w:rsidRPr="00586505" w:rsidRDefault="00574BE9" w:rsidP="00F916CA">
      <w:pPr>
        <w:tabs>
          <w:tab w:val="left" w:pos="930"/>
        </w:tabs>
        <w:spacing w:after="60" w:line="276" w:lineRule="auto"/>
        <w:jc w:val="both"/>
        <w:rPr>
          <w:rFonts w:eastAsia="Times New Roman" w:cs="Times New Roman"/>
          <w:sz w:val="24"/>
          <w:szCs w:val="24"/>
          <w:lang w:val="en-GB"/>
        </w:rPr>
      </w:pPr>
    </w:p>
    <w:p w:rsidR="003C538D" w:rsidRDefault="00E6340D" w:rsidP="00F916CA">
      <w:pPr>
        <w:tabs>
          <w:tab w:val="left" w:pos="930"/>
        </w:tabs>
        <w:spacing w:after="60" w:line="276" w:lineRule="auto"/>
        <w:jc w:val="both"/>
        <w:rPr>
          <w:rFonts w:eastAsia="Times New Roman" w:cs="Times New Roman"/>
          <w:lang w:val="en-GB"/>
        </w:rPr>
      </w:pPr>
      <w:r w:rsidRPr="00832FE4">
        <w:rPr>
          <w:rFonts w:eastAsia="Times New Roman" w:cs="Times New Roman"/>
          <w:lang w:val="en-GB"/>
        </w:rPr>
        <w:t xml:space="preserve">The UN </w:t>
      </w:r>
      <w:r w:rsidR="00FD321E" w:rsidRPr="00832FE4">
        <w:rPr>
          <w:rFonts w:eastAsia="Times New Roman" w:cs="Times New Roman"/>
          <w:lang w:val="en-GB"/>
        </w:rPr>
        <w:t xml:space="preserve">Inter-Agency Security Sector Reform Task Force (IASSRTF) </w:t>
      </w:r>
      <w:r w:rsidRPr="00832FE4">
        <w:rPr>
          <w:rFonts w:eastAsia="Times New Roman" w:cs="Times New Roman"/>
          <w:lang w:val="en-GB"/>
        </w:rPr>
        <w:t xml:space="preserve">was established in </w:t>
      </w:r>
      <w:r w:rsidR="00FD321E" w:rsidRPr="00832FE4">
        <w:rPr>
          <w:rFonts w:eastAsia="Times New Roman" w:cs="Times New Roman"/>
          <w:lang w:val="en-GB"/>
        </w:rPr>
        <w:t>2007</w:t>
      </w:r>
      <w:r w:rsidR="00B160DD" w:rsidRPr="00832FE4">
        <w:rPr>
          <w:rFonts w:eastAsia="Times New Roman" w:cs="Times New Roman"/>
          <w:lang w:val="en-GB"/>
        </w:rPr>
        <w:t xml:space="preserve"> </w:t>
      </w:r>
      <w:r w:rsidRPr="00832FE4">
        <w:rPr>
          <w:rFonts w:eastAsia="Times New Roman" w:cs="Times New Roman"/>
          <w:lang w:val="en-GB"/>
        </w:rPr>
        <w:t xml:space="preserve">and is </w:t>
      </w:r>
      <w:r w:rsidR="00FD321E" w:rsidRPr="00832FE4">
        <w:rPr>
          <w:rFonts w:eastAsia="Times New Roman" w:cs="Times New Roman"/>
          <w:lang w:val="en-GB"/>
        </w:rPr>
        <w:t>geared towards promoting an integrated, holistic and coherent United Nations security sector reform (SSR) approach that envisages to assist States and societies in establishing effective, inclusive and accountable security institutions</w:t>
      </w:r>
      <w:r w:rsidR="00B50594" w:rsidRPr="00832FE4">
        <w:rPr>
          <w:rFonts w:eastAsia="Times New Roman" w:cs="Times New Roman"/>
          <w:lang w:val="en-GB"/>
        </w:rPr>
        <w:t>,</w:t>
      </w:r>
      <w:r w:rsidR="00FD321E" w:rsidRPr="00832FE4">
        <w:rPr>
          <w:rFonts w:eastAsia="Times New Roman" w:cs="Times New Roman"/>
          <w:lang w:val="en-GB"/>
        </w:rPr>
        <w:t xml:space="preserve"> so as to contribute to international peace and security, sustainable development and the enjoyment of human rights by all. </w:t>
      </w:r>
      <w:r w:rsidR="00946E18">
        <w:rPr>
          <w:rFonts w:eastAsia="Times New Roman" w:cs="Times New Roman"/>
          <w:lang w:val="en-GB"/>
        </w:rPr>
        <w:t xml:space="preserve">  The IASSRTF also </w:t>
      </w:r>
      <w:r w:rsidR="00082A72">
        <w:rPr>
          <w:rFonts w:eastAsia="Times New Roman" w:cs="Times New Roman"/>
          <w:lang w:val="en-GB"/>
        </w:rPr>
        <w:t xml:space="preserve">coordinates implementation of S/RES/20151 (2014) the first stand-alone resolution on SSR.  </w:t>
      </w:r>
      <w:r w:rsidR="00B160DD" w:rsidRPr="00832FE4">
        <w:rPr>
          <w:rFonts w:eastAsia="Times New Roman" w:cs="Times New Roman"/>
          <w:lang w:val="en-GB"/>
        </w:rPr>
        <w:t xml:space="preserve">The UN </w:t>
      </w:r>
      <w:r w:rsidR="00046048" w:rsidRPr="00832FE4">
        <w:rPr>
          <w:rFonts w:eastAsia="Times New Roman" w:cs="Times New Roman"/>
          <w:lang w:val="en-GB"/>
        </w:rPr>
        <w:t>proposes sect</w:t>
      </w:r>
      <w:r w:rsidR="00FD321E" w:rsidRPr="00832FE4">
        <w:rPr>
          <w:rFonts w:eastAsia="Times New Roman" w:cs="Times New Roman"/>
          <w:lang w:val="en-GB"/>
        </w:rPr>
        <w:t>or-wide initiatives that address the strategic, governance and architectural frameworks of the sector</w:t>
      </w:r>
      <w:r w:rsidR="00B160DD" w:rsidRPr="00832FE4">
        <w:rPr>
          <w:rFonts w:eastAsia="Times New Roman" w:cs="Times New Roman"/>
          <w:lang w:val="en-GB"/>
        </w:rPr>
        <w:t xml:space="preserve">. </w:t>
      </w:r>
      <w:r w:rsidR="00FD321E" w:rsidRPr="00832FE4">
        <w:rPr>
          <w:rFonts w:eastAsia="Times New Roman" w:cs="Times New Roman"/>
          <w:lang w:val="en-GB"/>
        </w:rPr>
        <w:t>According to OECD/DAC this refers to the defence forces; law enforcement agencies; corrections services; intelligence services; institutions responsible for customs and border management and national emergencies. There are linkages with the criminal justice system, other legislative and security management bodies and those providing oversight functions (media, parliament, civil society). Other non-state actors include customary or informal authorities and private security services.</w:t>
      </w:r>
    </w:p>
    <w:p w:rsidR="003C538D" w:rsidRDefault="003C538D" w:rsidP="00F916CA">
      <w:pPr>
        <w:tabs>
          <w:tab w:val="left" w:pos="930"/>
        </w:tabs>
        <w:spacing w:after="60" w:line="276" w:lineRule="auto"/>
        <w:jc w:val="both"/>
        <w:rPr>
          <w:rFonts w:eastAsia="Times New Roman" w:cs="Times New Roman"/>
          <w:lang w:val="en-GB"/>
        </w:rPr>
      </w:pPr>
    </w:p>
    <w:p w:rsidR="003C538D" w:rsidRPr="003C538D" w:rsidRDefault="00FD321E" w:rsidP="00F916CA">
      <w:pPr>
        <w:tabs>
          <w:tab w:val="left" w:pos="930"/>
        </w:tabs>
        <w:spacing w:after="60" w:line="276" w:lineRule="auto"/>
        <w:jc w:val="both"/>
        <w:rPr>
          <w:rFonts w:eastAsia="Times New Roman" w:cs="Times New Roman"/>
          <w:lang w:val="en-GB"/>
        </w:rPr>
      </w:pPr>
      <w:r w:rsidRPr="00832FE4">
        <w:rPr>
          <w:rFonts w:cs="Times New Roman"/>
        </w:rPr>
        <w:t xml:space="preserve">The United Nations recognizes that its role in supporting regional and national authorities in their reform of the security sector is conditioned by the fact that </w:t>
      </w:r>
      <w:r w:rsidR="00B50594" w:rsidRPr="00832FE4">
        <w:rPr>
          <w:rFonts w:cs="Times New Roman"/>
        </w:rPr>
        <w:t>it</w:t>
      </w:r>
      <w:r w:rsidRPr="00832FE4">
        <w:rPr>
          <w:rFonts w:cs="Times New Roman"/>
        </w:rPr>
        <w:t xml:space="preserve"> will rarely be the excl</w:t>
      </w:r>
      <w:r w:rsidR="00B50594" w:rsidRPr="00832FE4">
        <w:rPr>
          <w:rFonts w:cs="Times New Roman"/>
        </w:rPr>
        <w:t>usive actor that supports such reform</w:t>
      </w:r>
      <w:r w:rsidRPr="00832FE4">
        <w:rPr>
          <w:rFonts w:cs="Times New Roman"/>
        </w:rPr>
        <w:t xml:space="preserve"> process</w:t>
      </w:r>
      <w:r w:rsidR="00B50594" w:rsidRPr="00832FE4">
        <w:rPr>
          <w:rFonts w:cs="Times New Roman"/>
        </w:rPr>
        <w:t>es</w:t>
      </w:r>
      <w:r w:rsidRPr="00832FE4">
        <w:rPr>
          <w:rFonts w:cs="Times New Roman"/>
        </w:rPr>
        <w:t>. However, the role of the United Nations in supporting SSR pr</w:t>
      </w:r>
      <w:r w:rsidR="00046048" w:rsidRPr="00832FE4">
        <w:rPr>
          <w:rFonts w:cs="Times New Roman"/>
        </w:rPr>
        <w:t>ocesses is also defined by the o</w:t>
      </w:r>
      <w:r w:rsidRPr="00832FE4">
        <w:rPr>
          <w:rFonts w:cs="Times New Roman"/>
        </w:rPr>
        <w:t>rganization’s legitimacy and global character, and has both a normative and operational component.</w:t>
      </w:r>
      <w:r w:rsidRPr="00832FE4">
        <w:rPr>
          <w:rFonts w:eastAsia="Times New Roman" w:cs="Times New Roman"/>
          <w:lang w:val="en-GB"/>
        </w:rPr>
        <w:t xml:space="preserve"> </w:t>
      </w:r>
      <w:r w:rsidRPr="00832FE4">
        <w:rPr>
          <w:rFonts w:cs="Times New Roman"/>
        </w:rPr>
        <w:t xml:space="preserve">Supporting the incorporation of international legal standards, including human rights </w:t>
      </w:r>
      <w:r w:rsidR="00B50594" w:rsidRPr="00832FE4">
        <w:rPr>
          <w:rFonts w:cs="Times New Roman"/>
        </w:rPr>
        <w:t>and the rule of law and ensuring that policies are aligned to countries developmental frameworks is very important.</w:t>
      </w:r>
      <w:r w:rsidR="00B160DD" w:rsidRPr="00832FE4">
        <w:rPr>
          <w:rFonts w:cs="Times New Roman"/>
        </w:rPr>
        <w:t xml:space="preserve"> </w:t>
      </w:r>
      <w:r w:rsidRPr="00832FE4">
        <w:rPr>
          <w:rFonts w:cs="Times New Roman"/>
        </w:rPr>
        <w:t xml:space="preserve">There is demonstrable evidence that the United Nations through its Development Programme </w:t>
      </w:r>
      <w:r w:rsidR="00B160DD" w:rsidRPr="00832FE4">
        <w:rPr>
          <w:rFonts w:cs="Times New Roman"/>
        </w:rPr>
        <w:t xml:space="preserve">has </w:t>
      </w:r>
      <w:r w:rsidRPr="00832FE4">
        <w:rPr>
          <w:rFonts w:cs="Times New Roman"/>
        </w:rPr>
        <w:t xml:space="preserve">been involved in this sphere of work and has comparative advantage and political savvy for this sensitive endeavor. </w:t>
      </w:r>
    </w:p>
    <w:p w:rsidR="003C538D" w:rsidRDefault="003C538D" w:rsidP="00F916CA">
      <w:pPr>
        <w:autoSpaceDE w:val="0"/>
        <w:autoSpaceDN w:val="0"/>
        <w:adjustRightInd w:val="0"/>
        <w:spacing w:after="0" w:line="276" w:lineRule="auto"/>
        <w:jc w:val="both"/>
        <w:rPr>
          <w:rFonts w:cs="Times New Roman"/>
        </w:rPr>
      </w:pPr>
    </w:p>
    <w:p w:rsidR="00E6340D" w:rsidRDefault="000C6EF0" w:rsidP="00F916CA">
      <w:pPr>
        <w:autoSpaceDE w:val="0"/>
        <w:autoSpaceDN w:val="0"/>
        <w:adjustRightInd w:val="0"/>
        <w:spacing w:after="0" w:line="276" w:lineRule="auto"/>
        <w:jc w:val="both"/>
        <w:rPr>
          <w:rFonts w:cs="Times New Roman"/>
        </w:rPr>
      </w:pPr>
      <w:r>
        <w:rPr>
          <w:rFonts w:cs="Arial"/>
        </w:rPr>
        <w:t xml:space="preserve">During the period 2008 to 2011 </w:t>
      </w:r>
      <w:r w:rsidR="003213A7" w:rsidRPr="00832FE4">
        <w:rPr>
          <w:rFonts w:cs="Arial"/>
        </w:rPr>
        <w:t xml:space="preserve">the UNDP Pacific Centre in collaboration with the </w:t>
      </w:r>
      <w:r w:rsidR="007D4C2E">
        <w:rPr>
          <w:rFonts w:cs="Arial"/>
        </w:rPr>
        <w:t xml:space="preserve">UNDP </w:t>
      </w:r>
      <w:r w:rsidR="003213A7" w:rsidRPr="00832FE4">
        <w:rPr>
          <w:rFonts w:cs="Arial"/>
        </w:rPr>
        <w:t xml:space="preserve">Bureau for </w:t>
      </w:r>
      <w:r w:rsidR="00E6340D" w:rsidRPr="00832FE4">
        <w:rPr>
          <w:rFonts w:cs="Arial"/>
        </w:rPr>
        <w:t xml:space="preserve">Crisis Prevention and Recovery </w:t>
      </w:r>
      <w:r w:rsidR="003213A7" w:rsidRPr="00832FE4">
        <w:rPr>
          <w:rFonts w:cs="Arial"/>
        </w:rPr>
        <w:t xml:space="preserve">(BCPR) </w:t>
      </w:r>
      <w:r>
        <w:rPr>
          <w:rFonts w:cs="Arial"/>
        </w:rPr>
        <w:t xml:space="preserve">the Regional Security Sector Governance Project in the Pacific – Regional Initiation Plan for </w:t>
      </w:r>
      <w:r w:rsidR="003213A7" w:rsidRPr="00832FE4">
        <w:rPr>
          <w:rFonts w:cs="Arial"/>
        </w:rPr>
        <w:t>capacity development of governance institutions in the securi</w:t>
      </w:r>
      <w:r w:rsidR="00082A72">
        <w:rPr>
          <w:rFonts w:cs="Arial"/>
        </w:rPr>
        <w:t>t</w:t>
      </w:r>
      <w:r>
        <w:rPr>
          <w:rFonts w:cs="Arial"/>
        </w:rPr>
        <w:t xml:space="preserve">y sector in the Pacific Region.  </w:t>
      </w:r>
      <w:r w:rsidR="00E6340D" w:rsidRPr="00832FE4">
        <w:rPr>
          <w:rFonts w:cs="Times New Roman"/>
        </w:rPr>
        <w:t>The support was aligned with the UNDP strategic Plan (2008-2011) for crisis prevention and recovery and the 2008-2011 Asia-Pacific Regional Programme document. Joint partnerships and synergies were established with the P</w:t>
      </w:r>
      <w:r w:rsidR="003C538D">
        <w:rPr>
          <w:rFonts w:cs="Times New Roman"/>
        </w:rPr>
        <w:t xml:space="preserve">acific Island Forum </w:t>
      </w:r>
      <w:r w:rsidR="007D4C2E">
        <w:rPr>
          <w:rFonts w:cs="Times New Roman"/>
        </w:rPr>
        <w:t xml:space="preserve">Secretariat </w:t>
      </w:r>
      <w:r w:rsidR="003C538D">
        <w:rPr>
          <w:rFonts w:cs="Times New Roman"/>
        </w:rPr>
        <w:t>(PIF</w:t>
      </w:r>
      <w:r w:rsidR="007D4C2E">
        <w:rPr>
          <w:rFonts w:cs="Times New Roman"/>
        </w:rPr>
        <w:t>S</w:t>
      </w:r>
      <w:r w:rsidR="003C538D">
        <w:rPr>
          <w:rFonts w:cs="Times New Roman"/>
        </w:rPr>
        <w:t xml:space="preserve">) </w:t>
      </w:r>
      <w:r w:rsidR="00E6340D" w:rsidRPr="00832FE4">
        <w:rPr>
          <w:rFonts w:cs="Times New Roman"/>
        </w:rPr>
        <w:t>and the Geneva Centre for the Democratic Control of the Armed Forces (DCAF). The desired outcome</w:t>
      </w:r>
      <w:r w:rsidR="007D4C2E">
        <w:rPr>
          <w:rFonts w:cs="Times New Roman"/>
        </w:rPr>
        <w:t xml:space="preserve"> of the project </w:t>
      </w:r>
      <w:r w:rsidR="00E6340D" w:rsidRPr="00832FE4">
        <w:rPr>
          <w:rFonts w:cs="Times New Roman"/>
        </w:rPr>
        <w:t>was to have in place security sector institutions in the Pacific with legislative, structural and organizational frameworks that are more responsive to the needs of ordinary citizens, including the poor, marginalized and most vulnerable groups. Oversight structures were to be capacitated (Parliament, Civil Society, media, ombudsmen) to ensure that the sector is effective, transparent and accountable to the people.</w:t>
      </w:r>
    </w:p>
    <w:p w:rsidR="003C538D" w:rsidRPr="003C538D" w:rsidRDefault="003C538D" w:rsidP="00F916CA">
      <w:pPr>
        <w:autoSpaceDE w:val="0"/>
        <w:autoSpaceDN w:val="0"/>
        <w:adjustRightInd w:val="0"/>
        <w:spacing w:after="0" w:line="276" w:lineRule="auto"/>
        <w:jc w:val="both"/>
        <w:rPr>
          <w:rFonts w:cs="Times New Roman"/>
        </w:rPr>
      </w:pPr>
    </w:p>
    <w:p w:rsidR="00082A72" w:rsidRDefault="000C6EF0" w:rsidP="00F916CA">
      <w:pPr>
        <w:spacing w:line="276" w:lineRule="auto"/>
        <w:jc w:val="both"/>
        <w:rPr>
          <w:rFonts w:cs="Arial"/>
          <w:lang w:val="en-AU"/>
        </w:rPr>
      </w:pPr>
      <w:r>
        <w:rPr>
          <w:rFonts w:cs="Arial"/>
        </w:rPr>
        <w:t>This Regional Security Sector Governance P</w:t>
      </w:r>
      <w:r w:rsidR="003213A7" w:rsidRPr="00832FE4">
        <w:rPr>
          <w:rFonts w:cs="Arial"/>
        </w:rPr>
        <w:t>roject targeted Fiji Islands, Papua New Guinea, Solomon Islands and Vanuatu, to raise awareness on SSG through knowledge transfer and building capacity of security sector institutions. It was implemented by UNDP Pacific Centre in close cooperation with the Pacific Islands Forum Secretariat (PIFS).</w:t>
      </w:r>
      <w:r w:rsidR="003213A7" w:rsidRPr="00832FE4">
        <w:rPr>
          <w:rFonts w:cs="Arial"/>
          <w:color w:val="000000"/>
          <w:lang w:val="en-AU"/>
        </w:rPr>
        <w:t xml:space="preserve"> The initiative was meant to promote SSG reforms as a means of providing effective security and law enforcement services to communities, by emphasising the accountability of security institutions to elected political authorities, oversight mechanisms and the Rule of Law.  The initiative sought to </w:t>
      </w:r>
      <w:r w:rsidR="003213A7" w:rsidRPr="00832FE4">
        <w:rPr>
          <w:rFonts w:cs="Arial"/>
          <w:lang w:val="en-AU"/>
        </w:rPr>
        <w:t xml:space="preserve">complement existing reforms and capacity building efforts undertaken in the Pacific by supporting domestic activities in these five target countries. </w:t>
      </w:r>
    </w:p>
    <w:p w:rsidR="00FD321E" w:rsidRPr="00082A72" w:rsidRDefault="00C8761F" w:rsidP="00082A72">
      <w:pPr>
        <w:spacing w:line="276" w:lineRule="auto"/>
        <w:jc w:val="both"/>
        <w:rPr>
          <w:rFonts w:cs="Arial"/>
        </w:rPr>
      </w:pPr>
      <w:r>
        <w:rPr>
          <w:rFonts w:cs="Arial"/>
        </w:rPr>
        <w:t>A</w:t>
      </w:r>
      <w:r w:rsidR="000C6EF0">
        <w:rPr>
          <w:rFonts w:cs="Arial"/>
        </w:rPr>
        <w:t xml:space="preserve">chievements of the Regional Security Sector Governance Project and associated  initiatives </w:t>
      </w:r>
      <w:r w:rsidR="003213A7" w:rsidRPr="00832FE4">
        <w:rPr>
          <w:rFonts w:cs="Arial"/>
        </w:rPr>
        <w:t xml:space="preserve">were that national strategic planning sessions and consultations with key stakeholders were held in Papua New Guinea, Solomon Islands and Vanuatu coordinated by UNDP PC, PIFS, the </w:t>
      </w:r>
      <w:r w:rsidR="00E6340D" w:rsidRPr="00832FE4">
        <w:rPr>
          <w:rFonts w:cs="Arial"/>
        </w:rPr>
        <w:t>DCAF</w:t>
      </w:r>
      <w:r w:rsidR="003213A7" w:rsidRPr="00832FE4">
        <w:rPr>
          <w:rFonts w:cs="Arial"/>
        </w:rPr>
        <w:t xml:space="preserve"> and the respective Governments. </w:t>
      </w:r>
      <w:r w:rsidR="00082A72">
        <w:rPr>
          <w:rFonts w:cs="Arial"/>
        </w:rPr>
        <w:t xml:space="preserve"> </w:t>
      </w:r>
      <w:r w:rsidR="00E6340D" w:rsidRPr="00832FE4">
        <w:rPr>
          <w:rFonts w:cs="Times New Roman"/>
        </w:rPr>
        <w:t>The release of a joint UNDP/PIF/DCAF publication (2010) ‘Enhancing Security Sector G</w:t>
      </w:r>
      <w:r w:rsidR="00082A72">
        <w:rPr>
          <w:rFonts w:cs="Times New Roman"/>
        </w:rPr>
        <w:t>overnance in the Pacific Region:</w:t>
      </w:r>
      <w:r w:rsidR="00E6340D" w:rsidRPr="00832FE4">
        <w:rPr>
          <w:rFonts w:cs="Times New Roman"/>
        </w:rPr>
        <w:t xml:space="preserve"> A strategic Framework</w:t>
      </w:r>
      <w:r w:rsidR="00082A72">
        <w:rPr>
          <w:rFonts w:cs="Times New Roman"/>
        </w:rPr>
        <w:t>’</w:t>
      </w:r>
      <w:r w:rsidR="00E6340D" w:rsidRPr="00832FE4">
        <w:rPr>
          <w:rFonts w:cs="Times New Roman"/>
        </w:rPr>
        <w:t xml:space="preserve"> was also </w:t>
      </w:r>
      <w:r w:rsidR="007D4C2E">
        <w:rPr>
          <w:rFonts w:cs="Times New Roman"/>
        </w:rPr>
        <w:t xml:space="preserve">a </w:t>
      </w:r>
      <w:r w:rsidR="001C56A5">
        <w:rPr>
          <w:rFonts w:cs="Times New Roman"/>
        </w:rPr>
        <w:t xml:space="preserve">result </w:t>
      </w:r>
      <w:r w:rsidR="00E6340D" w:rsidRPr="00832FE4">
        <w:rPr>
          <w:rFonts w:cs="Times New Roman"/>
        </w:rPr>
        <w:t xml:space="preserve">of this initiative. Furthermore, other </w:t>
      </w:r>
      <w:r>
        <w:rPr>
          <w:rFonts w:cs="Times New Roman"/>
        </w:rPr>
        <w:t>results</w:t>
      </w:r>
      <w:r w:rsidR="00946E18">
        <w:rPr>
          <w:rFonts w:cs="Times New Roman"/>
        </w:rPr>
        <w:t xml:space="preserve"> </w:t>
      </w:r>
      <w:r w:rsidR="00E6340D" w:rsidRPr="00832FE4">
        <w:rPr>
          <w:rFonts w:cs="Times New Roman"/>
        </w:rPr>
        <w:t xml:space="preserve">included the organization of a successful </w:t>
      </w:r>
      <w:r w:rsidR="007D4C2E">
        <w:rPr>
          <w:rFonts w:cs="Times New Roman"/>
        </w:rPr>
        <w:t xml:space="preserve">regional conference on </w:t>
      </w:r>
      <w:r w:rsidR="00E6340D" w:rsidRPr="00832FE4">
        <w:rPr>
          <w:rFonts w:cs="Times New Roman"/>
        </w:rPr>
        <w:t xml:space="preserve">Security Sector Governance in the Pacific in Tonga </w:t>
      </w:r>
      <w:r w:rsidR="00082A72">
        <w:rPr>
          <w:rFonts w:cs="Times New Roman"/>
        </w:rPr>
        <w:t xml:space="preserve">in April 2009.  Whilst subsequently </w:t>
      </w:r>
      <w:r w:rsidR="00082A72">
        <w:rPr>
          <w:rFonts w:cs="Arial"/>
        </w:rPr>
        <w:t xml:space="preserve">Papua New Guinea developed </w:t>
      </w:r>
      <w:r w:rsidR="003213A7" w:rsidRPr="00832FE4">
        <w:rPr>
          <w:rFonts w:cs="Arial"/>
        </w:rPr>
        <w:t>a National Security Policy which was launched by the</w:t>
      </w:r>
      <w:r w:rsidR="00082A72">
        <w:rPr>
          <w:rFonts w:cs="Arial"/>
        </w:rPr>
        <w:t xml:space="preserve">ir Government in December 2013, other countries did not develop their policies due to a range </w:t>
      </w:r>
      <w:r w:rsidR="003213A7" w:rsidRPr="00832FE4">
        <w:rPr>
          <w:rFonts w:cs="Arial"/>
        </w:rPr>
        <w:t xml:space="preserve">of factors </w:t>
      </w:r>
      <w:r w:rsidR="00082A72">
        <w:rPr>
          <w:rFonts w:cs="Arial"/>
        </w:rPr>
        <w:t xml:space="preserve">but primarily </w:t>
      </w:r>
      <w:r w:rsidR="003213A7" w:rsidRPr="00832FE4">
        <w:rPr>
          <w:rFonts w:cs="Arial"/>
        </w:rPr>
        <w:t>related to the many political upheavals and c</w:t>
      </w:r>
      <w:r w:rsidR="00082A72">
        <w:rPr>
          <w:rFonts w:cs="Arial"/>
        </w:rPr>
        <w:t>hallenges they had at the time.</w:t>
      </w:r>
    </w:p>
    <w:p w:rsidR="002578B5" w:rsidRDefault="00517C56" w:rsidP="002578B5">
      <w:pPr>
        <w:autoSpaceDE w:val="0"/>
        <w:autoSpaceDN w:val="0"/>
        <w:adjustRightInd w:val="0"/>
        <w:spacing w:after="0" w:line="276" w:lineRule="auto"/>
        <w:jc w:val="both"/>
        <w:rPr>
          <w:rFonts w:cs="Times New Roman"/>
        </w:rPr>
      </w:pPr>
      <w:r>
        <w:rPr>
          <w:rFonts w:cs="Times New Roman"/>
        </w:rPr>
        <w:t xml:space="preserve">Initiatives building on and following the Regional Security Sector Governance Project </w:t>
      </w:r>
      <w:r w:rsidR="00FD321E" w:rsidRPr="00832FE4">
        <w:rPr>
          <w:rFonts w:cs="Times New Roman"/>
        </w:rPr>
        <w:t xml:space="preserve">also supported a regional meeting on ‘Security Sector Governance in the Pacific’ jointly organized with the Pacific Island Forum Secretariat (PIFS) in Fiji in May 2013. This meeting provided the platform for the development and agreement between member states on the security sector </w:t>
      </w:r>
      <w:r w:rsidR="00810CBB" w:rsidRPr="00832FE4">
        <w:rPr>
          <w:rFonts w:cs="Times New Roman"/>
        </w:rPr>
        <w:t xml:space="preserve">governance </w:t>
      </w:r>
      <w:r w:rsidR="00FD321E" w:rsidRPr="00832FE4">
        <w:rPr>
          <w:rFonts w:cs="Times New Roman"/>
        </w:rPr>
        <w:t>guiding principles for the Pacific, which has been approved by the Forum Regional Security Co</w:t>
      </w:r>
      <w:r w:rsidR="007D4C2E">
        <w:rPr>
          <w:rFonts w:cs="Times New Roman"/>
        </w:rPr>
        <w:t>mmittee</w:t>
      </w:r>
      <w:r w:rsidR="00FD321E" w:rsidRPr="00832FE4">
        <w:rPr>
          <w:rFonts w:cs="Times New Roman"/>
        </w:rPr>
        <w:t xml:space="preserve"> (FRSC) and Pacific leaders at their meeti</w:t>
      </w:r>
      <w:r w:rsidR="002578B5">
        <w:rPr>
          <w:rFonts w:cs="Times New Roman"/>
        </w:rPr>
        <w:t xml:space="preserve">ng held in Palau in July 2014.  </w:t>
      </w:r>
      <w:r w:rsidR="00FD321E" w:rsidRPr="00832FE4">
        <w:rPr>
          <w:rFonts w:cs="Times New Roman"/>
        </w:rPr>
        <w:t xml:space="preserve">Development of a Regional Action Plan (RAP) on Women, Peace and Security (1325) was also supported by the project and this now needs to be </w:t>
      </w:r>
      <w:r w:rsidR="007D4C2E">
        <w:rPr>
          <w:rFonts w:cs="Times New Roman"/>
        </w:rPr>
        <w:t>translated into national action</w:t>
      </w:r>
      <w:r w:rsidR="00FD321E" w:rsidRPr="00832FE4">
        <w:rPr>
          <w:rFonts w:cs="Times New Roman"/>
        </w:rPr>
        <w:t xml:space="preserve"> by individual member states. Through knowledge products developed and disseminated</w:t>
      </w:r>
      <w:r w:rsidR="002578B5">
        <w:rPr>
          <w:rFonts w:cs="Times New Roman"/>
        </w:rPr>
        <w:t>,</w:t>
      </w:r>
      <w:r w:rsidR="00FD321E" w:rsidRPr="00832FE4">
        <w:rPr>
          <w:rFonts w:cs="Times New Roman"/>
        </w:rPr>
        <w:t xml:space="preserve"> and experience shared across the region on contemporary security sector governance issues, awareness have been raised across government’s’ generally and members of the public to include women’s groups, youth and </w:t>
      </w:r>
      <w:r w:rsidR="00125268" w:rsidRPr="00832FE4">
        <w:rPr>
          <w:rFonts w:cs="Times New Roman"/>
        </w:rPr>
        <w:t xml:space="preserve">other </w:t>
      </w:r>
      <w:r w:rsidR="00FD321E" w:rsidRPr="00832FE4">
        <w:rPr>
          <w:rFonts w:cs="Times New Roman"/>
        </w:rPr>
        <w:t>marginaliz</w:t>
      </w:r>
      <w:r w:rsidR="002578B5">
        <w:rPr>
          <w:rFonts w:cs="Times New Roman"/>
        </w:rPr>
        <w:t xml:space="preserve">ed groups.    </w:t>
      </w:r>
    </w:p>
    <w:p w:rsidR="002578B5" w:rsidRDefault="002578B5" w:rsidP="00F916CA">
      <w:pPr>
        <w:tabs>
          <w:tab w:val="left" w:pos="90"/>
        </w:tabs>
        <w:autoSpaceDE w:val="0"/>
        <w:autoSpaceDN w:val="0"/>
        <w:adjustRightInd w:val="0"/>
        <w:spacing w:after="0" w:line="276" w:lineRule="auto"/>
        <w:jc w:val="both"/>
        <w:rPr>
          <w:rFonts w:cs="Times New Roman"/>
        </w:rPr>
      </w:pPr>
    </w:p>
    <w:p w:rsidR="00F25AF1" w:rsidRPr="00832FE4" w:rsidRDefault="002578B5" w:rsidP="00F916CA">
      <w:pPr>
        <w:tabs>
          <w:tab w:val="left" w:pos="90"/>
        </w:tabs>
        <w:autoSpaceDE w:val="0"/>
        <w:autoSpaceDN w:val="0"/>
        <w:adjustRightInd w:val="0"/>
        <w:spacing w:after="0" w:line="276" w:lineRule="auto"/>
        <w:jc w:val="both"/>
        <w:rPr>
          <w:rFonts w:cs="Times New Roman"/>
        </w:rPr>
      </w:pPr>
      <w:r>
        <w:rPr>
          <w:rFonts w:cs="Times New Roman"/>
        </w:rPr>
        <w:t xml:space="preserve">The intention is </w:t>
      </w:r>
      <w:r w:rsidR="00FD321E" w:rsidRPr="00832FE4">
        <w:rPr>
          <w:rFonts w:cs="Times New Roman"/>
        </w:rPr>
        <w:t>that the current project will build on these successes and provide innovative ways of creating the safe and secure environment for sustainable socio-economic development in the region.</w:t>
      </w:r>
      <w:r w:rsidR="00F25AF1" w:rsidRPr="00832FE4">
        <w:rPr>
          <w:rFonts w:cs="Times New Roman"/>
        </w:rPr>
        <w:t xml:space="preserve"> This can only be achieved through engaging directly with local communities, particularly women </w:t>
      </w:r>
      <w:r w:rsidR="008044AC" w:rsidRPr="00832FE4">
        <w:rPr>
          <w:rFonts w:cs="Times New Roman"/>
        </w:rPr>
        <w:t xml:space="preserve">and marginalized groups </w:t>
      </w:r>
      <w:r w:rsidR="00F25AF1" w:rsidRPr="00832FE4">
        <w:rPr>
          <w:rFonts w:cs="Times New Roman"/>
        </w:rPr>
        <w:t>to understand their needs and what human security really means to them. The need for G</w:t>
      </w:r>
      <w:r w:rsidR="00EE6600" w:rsidRPr="00832FE4">
        <w:rPr>
          <w:rFonts w:cs="Times New Roman"/>
        </w:rPr>
        <w:t>overnments to communicate this human s</w:t>
      </w:r>
      <w:r w:rsidR="00F25AF1" w:rsidRPr="00832FE4">
        <w:rPr>
          <w:rFonts w:cs="Times New Roman"/>
        </w:rPr>
        <w:t xml:space="preserve">ecurity concept is important and </w:t>
      </w:r>
      <w:r w:rsidR="008044AC" w:rsidRPr="00832FE4">
        <w:rPr>
          <w:rFonts w:cs="Times New Roman"/>
        </w:rPr>
        <w:t>will only be effective</w:t>
      </w:r>
      <w:r w:rsidR="00F25AF1" w:rsidRPr="00832FE4">
        <w:rPr>
          <w:rFonts w:cs="Times New Roman"/>
        </w:rPr>
        <w:t xml:space="preserve"> when </w:t>
      </w:r>
      <w:r>
        <w:rPr>
          <w:rFonts w:cs="Times New Roman"/>
        </w:rPr>
        <w:t xml:space="preserve">there is a shared understanding and engagement of communities </w:t>
      </w:r>
      <w:r w:rsidR="008044AC" w:rsidRPr="00832FE4">
        <w:rPr>
          <w:rFonts w:cs="Times New Roman"/>
        </w:rPr>
        <w:t xml:space="preserve">to ensure that they contribute meaningfully </w:t>
      </w:r>
      <w:r w:rsidR="008A5FC6" w:rsidRPr="00832FE4">
        <w:rPr>
          <w:rFonts w:cs="Times New Roman"/>
        </w:rPr>
        <w:t>to</w:t>
      </w:r>
      <w:r w:rsidR="008044AC" w:rsidRPr="00832FE4">
        <w:rPr>
          <w:rFonts w:cs="Times New Roman"/>
        </w:rPr>
        <w:t xml:space="preserve"> policy formulation.</w:t>
      </w:r>
    </w:p>
    <w:p w:rsidR="00832FE4" w:rsidRPr="00586505" w:rsidRDefault="00832FE4" w:rsidP="00F916CA">
      <w:pPr>
        <w:tabs>
          <w:tab w:val="left" w:pos="90"/>
        </w:tabs>
        <w:autoSpaceDE w:val="0"/>
        <w:autoSpaceDN w:val="0"/>
        <w:adjustRightInd w:val="0"/>
        <w:spacing w:after="0" w:line="276" w:lineRule="auto"/>
        <w:jc w:val="both"/>
        <w:rPr>
          <w:rFonts w:cs="Times New Roman"/>
          <w:b/>
          <w:sz w:val="24"/>
          <w:szCs w:val="24"/>
        </w:rPr>
      </w:pPr>
    </w:p>
    <w:p w:rsidR="00FD321E" w:rsidRPr="00002D30" w:rsidRDefault="00317EBB" w:rsidP="00F916CA">
      <w:pPr>
        <w:pStyle w:val="ListParagraph"/>
        <w:numPr>
          <w:ilvl w:val="0"/>
          <w:numId w:val="31"/>
        </w:numPr>
        <w:tabs>
          <w:tab w:val="left" w:pos="90"/>
        </w:tabs>
        <w:autoSpaceDE w:val="0"/>
        <w:autoSpaceDN w:val="0"/>
        <w:adjustRightInd w:val="0"/>
        <w:spacing w:after="0" w:line="276" w:lineRule="auto"/>
        <w:jc w:val="both"/>
        <w:rPr>
          <w:rFonts w:cs="Times New Roman"/>
          <w:b/>
          <w:sz w:val="24"/>
          <w:szCs w:val="24"/>
        </w:rPr>
      </w:pPr>
      <w:r>
        <w:rPr>
          <w:rFonts w:cs="Times New Roman"/>
          <w:b/>
          <w:sz w:val="24"/>
          <w:szCs w:val="24"/>
        </w:rPr>
        <w:t>OVERALL STRATEGY</w:t>
      </w:r>
      <w:r w:rsidR="00FD321E" w:rsidRPr="00002D30">
        <w:rPr>
          <w:rFonts w:cs="Times New Roman"/>
          <w:b/>
          <w:sz w:val="24"/>
          <w:szCs w:val="24"/>
        </w:rPr>
        <w:tab/>
      </w:r>
    </w:p>
    <w:p w:rsidR="00FD321E" w:rsidRPr="00586505" w:rsidRDefault="00FD321E" w:rsidP="00F916CA">
      <w:pPr>
        <w:tabs>
          <w:tab w:val="left" w:pos="90"/>
        </w:tabs>
        <w:autoSpaceDE w:val="0"/>
        <w:autoSpaceDN w:val="0"/>
        <w:adjustRightInd w:val="0"/>
        <w:spacing w:after="0" w:line="276" w:lineRule="auto"/>
        <w:jc w:val="both"/>
        <w:rPr>
          <w:rFonts w:cs="Times New Roman"/>
          <w:sz w:val="24"/>
          <w:szCs w:val="24"/>
        </w:rPr>
      </w:pPr>
    </w:p>
    <w:p w:rsidR="002153DC" w:rsidRPr="00002D30" w:rsidRDefault="00CB7856" w:rsidP="00F916CA">
      <w:pPr>
        <w:pStyle w:val="ListParagraph"/>
        <w:numPr>
          <w:ilvl w:val="0"/>
          <w:numId w:val="33"/>
        </w:numPr>
        <w:tabs>
          <w:tab w:val="left" w:pos="90"/>
        </w:tabs>
        <w:autoSpaceDE w:val="0"/>
        <w:autoSpaceDN w:val="0"/>
        <w:adjustRightInd w:val="0"/>
        <w:spacing w:after="0" w:line="276" w:lineRule="auto"/>
        <w:jc w:val="both"/>
        <w:rPr>
          <w:rFonts w:cs="Times New Roman"/>
          <w:b/>
          <w:sz w:val="24"/>
          <w:szCs w:val="24"/>
        </w:rPr>
      </w:pPr>
      <w:r w:rsidRPr="00002D30">
        <w:rPr>
          <w:rFonts w:cs="Times New Roman"/>
          <w:b/>
          <w:sz w:val="24"/>
          <w:szCs w:val="24"/>
        </w:rPr>
        <w:t xml:space="preserve">Achieving transformation </w:t>
      </w:r>
    </w:p>
    <w:p w:rsidR="002153DC" w:rsidRPr="00586505" w:rsidRDefault="002153DC" w:rsidP="00F916CA">
      <w:pPr>
        <w:tabs>
          <w:tab w:val="left" w:pos="90"/>
        </w:tabs>
        <w:autoSpaceDE w:val="0"/>
        <w:autoSpaceDN w:val="0"/>
        <w:adjustRightInd w:val="0"/>
        <w:spacing w:after="0" w:line="276" w:lineRule="auto"/>
        <w:jc w:val="both"/>
        <w:rPr>
          <w:rFonts w:cs="Times New Roman"/>
          <w:sz w:val="24"/>
          <w:szCs w:val="24"/>
        </w:rPr>
      </w:pPr>
    </w:p>
    <w:p w:rsidR="00CB7856" w:rsidRDefault="00CB7856" w:rsidP="00F916CA">
      <w:pPr>
        <w:tabs>
          <w:tab w:val="left" w:pos="930"/>
        </w:tabs>
        <w:spacing w:after="60" w:line="276" w:lineRule="auto"/>
        <w:jc w:val="both"/>
        <w:rPr>
          <w:rFonts w:eastAsia="Times New Roman" w:cs="Times New Roman"/>
          <w:lang w:val="en-GB"/>
        </w:rPr>
      </w:pPr>
      <w:r w:rsidRPr="00BB12B0">
        <w:rPr>
          <w:rFonts w:eastAsia="Times New Roman" w:cs="Times New Roman"/>
          <w:lang w:val="en-GB"/>
        </w:rPr>
        <w:t xml:space="preserve">Security is a key function of the state and inexorably linked with </w:t>
      </w:r>
      <w:r w:rsidR="007D4C2E">
        <w:rPr>
          <w:rFonts w:eastAsia="Times New Roman" w:cs="Times New Roman"/>
          <w:lang w:val="en-GB"/>
        </w:rPr>
        <w:t xml:space="preserve">sustainable </w:t>
      </w:r>
      <w:r w:rsidRPr="00BB12B0">
        <w:rPr>
          <w:rFonts w:eastAsia="Times New Roman" w:cs="Times New Roman"/>
          <w:lang w:val="en-GB"/>
        </w:rPr>
        <w:t xml:space="preserve">development. It is a precondition for peace and stability and should be delivered in a transparent, accountable and professional manner. In some Pacific countries poor oversight and </w:t>
      </w:r>
      <w:r w:rsidR="007D4C2E">
        <w:rPr>
          <w:rFonts w:eastAsia="Times New Roman" w:cs="Times New Roman"/>
          <w:lang w:val="en-GB"/>
        </w:rPr>
        <w:t xml:space="preserve">weak </w:t>
      </w:r>
      <w:r w:rsidRPr="00BB12B0">
        <w:rPr>
          <w:rFonts w:eastAsia="Times New Roman" w:cs="Times New Roman"/>
          <w:lang w:val="en-GB"/>
        </w:rPr>
        <w:t>management bodies have, however, seriously undermined delivery of security services to the state and the people. This therefore warrants effective partnerships with host Governments through provision of technical support, to ensure that legal and administrative arrangements for security are streamlined and operating fully within regionally agreed principles. Such security s</w:t>
      </w:r>
      <w:r w:rsidR="00226C92">
        <w:rPr>
          <w:rFonts w:eastAsia="Times New Roman" w:cs="Times New Roman"/>
          <w:lang w:val="en-GB"/>
        </w:rPr>
        <w:t xml:space="preserve">ector </w:t>
      </w:r>
      <w:r w:rsidRPr="00BB12B0">
        <w:rPr>
          <w:rFonts w:eastAsia="Times New Roman" w:cs="Times New Roman"/>
          <w:lang w:val="en-GB"/>
        </w:rPr>
        <w:t>transformations though sen</w:t>
      </w:r>
      <w:r w:rsidR="00936C94">
        <w:rPr>
          <w:rFonts w:eastAsia="Times New Roman" w:cs="Times New Roman"/>
          <w:lang w:val="en-GB"/>
        </w:rPr>
        <w:t>sitive, are better initiated th</w:t>
      </w:r>
      <w:r w:rsidRPr="00BB12B0">
        <w:rPr>
          <w:rFonts w:eastAsia="Times New Roman" w:cs="Times New Roman"/>
          <w:lang w:val="en-GB"/>
        </w:rPr>
        <w:t>rough a better understanding of the processes involved.</w:t>
      </w:r>
    </w:p>
    <w:p w:rsidR="00C6464E" w:rsidRDefault="00C6464E" w:rsidP="00F916CA">
      <w:pPr>
        <w:tabs>
          <w:tab w:val="left" w:pos="930"/>
        </w:tabs>
        <w:spacing w:after="60" w:line="276" w:lineRule="auto"/>
        <w:jc w:val="both"/>
        <w:rPr>
          <w:rFonts w:eastAsia="Times New Roman" w:cs="Times New Roman"/>
          <w:lang w:val="en-GB"/>
        </w:rPr>
      </w:pPr>
    </w:p>
    <w:p w:rsidR="00C6464E" w:rsidRPr="00C6464E" w:rsidRDefault="00C6464E" w:rsidP="00F916CA">
      <w:pPr>
        <w:tabs>
          <w:tab w:val="left" w:pos="930"/>
        </w:tabs>
        <w:spacing w:after="60" w:line="276" w:lineRule="auto"/>
        <w:jc w:val="both"/>
        <w:rPr>
          <w:rFonts w:eastAsia="Times New Roman" w:cs="Arial"/>
        </w:rPr>
      </w:pPr>
      <w:r>
        <w:rPr>
          <w:rFonts w:eastAsia="Times New Roman" w:cs="Arial"/>
        </w:rPr>
        <w:t xml:space="preserve">The cultural and ethnic </w:t>
      </w:r>
      <w:r w:rsidRPr="00BB12B0">
        <w:rPr>
          <w:rFonts w:eastAsia="Times New Roman" w:cs="Arial"/>
        </w:rPr>
        <w:t>differences in many Pacific Island countries as well as their size, have often made discussion on securi</w:t>
      </w:r>
      <w:r>
        <w:rPr>
          <w:rFonts w:eastAsia="Times New Roman" w:cs="Arial"/>
        </w:rPr>
        <w:t>ty sector issues difficult</w:t>
      </w:r>
      <w:r w:rsidRPr="00BB12B0">
        <w:rPr>
          <w:rFonts w:eastAsia="Times New Roman" w:cs="Arial"/>
        </w:rPr>
        <w:t xml:space="preserve"> for public discourse. This sensitivity</w:t>
      </w:r>
      <w:r>
        <w:rPr>
          <w:rFonts w:eastAsia="Times New Roman" w:cs="Arial"/>
        </w:rPr>
        <w:t xml:space="preserve"> can be further exacerbated </w:t>
      </w:r>
      <w:r w:rsidRPr="00BB12B0">
        <w:rPr>
          <w:rFonts w:eastAsia="Times New Roman" w:cs="Arial"/>
        </w:rPr>
        <w:t xml:space="preserve">by the conventional religious, ethnic and traditional affiliations and connections between the Military, Police and the populace. This project therefore proposes </w:t>
      </w:r>
      <w:r>
        <w:rPr>
          <w:rFonts w:eastAsia="Times New Roman" w:cs="Arial"/>
        </w:rPr>
        <w:t>to support dialogue on security sector issues using</w:t>
      </w:r>
      <w:r w:rsidRPr="00BB12B0">
        <w:rPr>
          <w:rFonts w:eastAsia="Times New Roman" w:cs="Arial"/>
        </w:rPr>
        <w:t xml:space="preserve"> very practical people-centred, comprehensive, context-specific and prevention-oriented measures</w:t>
      </w:r>
      <w:r>
        <w:rPr>
          <w:rFonts w:eastAsia="Times New Roman" w:cs="Arial"/>
        </w:rPr>
        <w:t xml:space="preserve"> to </w:t>
      </w:r>
      <w:r w:rsidRPr="00C6464E">
        <w:rPr>
          <w:rFonts w:eastAsia="Times New Roman" w:cs="Arial"/>
        </w:rPr>
        <w:t>encourage collaborative engagement involving all stakeholders at the national, regional and community levels</w:t>
      </w:r>
      <w:r>
        <w:rPr>
          <w:rFonts w:eastAsia="Times New Roman" w:cs="Arial"/>
        </w:rPr>
        <w:t>.</w:t>
      </w:r>
      <w:r w:rsidRPr="00C6464E">
        <w:rPr>
          <w:rFonts w:eastAsia="Times New Roman" w:cs="Arial"/>
        </w:rPr>
        <w:t xml:space="preserve"> </w:t>
      </w:r>
    </w:p>
    <w:p w:rsidR="00CB7856" w:rsidRPr="00782FCA" w:rsidRDefault="00CB7856" w:rsidP="00F916CA">
      <w:pPr>
        <w:tabs>
          <w:tab w:val="left" w:pos="930"/>
        </w:tabs>
        <w:spacing w:after="60" w:line="276" w:lineRule="auto"/>
        <w:jc w:val="both"/>
        <w:rPr>
          <w:rFonts w:eastAsia="Times New Roman" w:cs="Times New Roman"/>
          <w:lang w:val="en-GB"/>
        </w:rPr>
      </w:pPr>
      <w:r w:rsidRPr="00BB12B0">
        <w:rPr>
          <w:rFonts w:eastAsia="Times New Roman" w:cs="Times New Roman"/>
          <w:lang w:val="en-GB"/>
        </w:rPr>
        <w:t>Pacific leaders have demonstrated strong political commitment and built a strong consensus on a number of good initiatives to promote regional peace and security and stability. The framework for Pacific Regionalism signed up to by all leaders offers a unique opportunity to development partners and UNDP especially to support Governments within the Pacific UNDAF (2013-2017) and the UN Secretary-General’s Fi</w:t>
      </w:r>
      <w:r w:rsidR="00782FCA">
        <w:rPr>
          <w:rFonts w:eastAsia="Times New Roman" w:cs="Times New Roman"/>
          <w:lang w:val="en-GB"/>
        </w:rPr>
        <w:t xml:space="preserve">ve Year Action Agenda of 2012.   </w:t>
      </w:r>
      <w:r w:rsidR="002153DC" w:rsidRPr="00BB12B0">
        <w:t xml:space="preserve">The various different frameworks and commitments that Leaders of the targeted countries have signed up to in relation to improving human security offer an important entry point for the United Nations and partners to work with the respective countries to domesticate these commitments. </w:t>
      </w:r>
    </w:p>
    <w:p w:rsidR="004E299A" w:rsidRPr="004E299A" w:rsidRDefault="002153DC" w:rsidP="004E299A">
      <w:pPr>
        <w:tabs>
          <w:tab w:val="left" w:pos="930"/>
        </w:tabs>
        <w:spacing w:after="60" w:line="276" w:lineRule="auto"/>
        <w:jc w:val="both"/>
      </w:pPr>
      <w:r w:rsidRPr="00BB12B0">
        <w:t xml:space="preserve">The </w:t>
      </w:r>
      <w:r w:rsidRPr="004E000A">
        <w:rPr>
          <w:u w:val="single"/>
        </w:rPr>
        <w:t>Theory of Change</w:t>
      </w:r>
      <w:r w:rsidR="00300251">
        <w:t xml:space="preserve"> </w:t>
      </w:r>
      <w:r w:rsidR="00226C92">
        <w:t xml:space="preserve">for this project </w:t>
      </w:r>
      <w:r w:rsidR="00300251">
        <w:t xml:space="preserve">proposes that by supporting </w:t>
      </w:r>
      <w:r w:rsidR="00782FCA">
        <w:t xml:space="preserve">PICs </w:t>
      </w:r>
      <w:r w:rsidR="00F916CA">
        <w:t xml:space="preserve">both </w:t>
      </w:r>
      <w:r w:rsidR="00782FCA">
        <w:t xml:space="preserve">at regional and </w:t>
      </w:r>
      <w:r w:rsidR="00F916CA">
        <w:t xml:space="preserve">national levels </w:t>
      </w:r>
      <w:r w:rsidR="00300251">
        <w:t xml:space="preserve">to raise awareness on security sector governance concepts, by supporting constructive and inclusive dialogue on security sector governance, and providing targeted support for </w:t>
      </w:r>
      <w:r w:rsidR="00226C92">
        <w:t xml:space="preserve">the </w:t>
      </w:r>
      <w:r w:rsidR="00300251">
        <w:t>development and implementation of national security strategies and associated governance mechanisms then this will contribute to the promotion of peaceful and inclusive societies for sustainable development. S</w:t>
      </w:r>
      <w:r w:rsidRPr="00BB12B0">
        <w:t xml:space="preserve">ecurity </w:t>
      </w:r>
      <w:r w:rsidR="00782FCA">
        <w:t xml:space="preserve">sector </w:t>
      </w:r>
      <w:r w:rsidR="00300251">
        <w:t xml:space="preserve">governance and </w:t>
      </w:r>
      <w:r w:rsidRPr="00BB12B0">
        <w:t xml:space="preserve">policy development </w:t>
      </w:r>
      <w:r w:rsidR="00300251">
        <w:t xml:space="preserve">also </w:t>
      </w:r>
      <w:r w:rsidRPr="00BB12B0">
        <w:t>offers a more inclusive way to organize security and an opportunity to mainstream through security pr</w:t>
      </w:r>
      <w:r w:rsidR="00782FCA">
        <w:t>oviders elements that are found</w:t>
      </w:r>
      <w:r w:rsidRPr="00BB12B0">
        <w:t xml:space="preserve"> in the various international commitments on human rights, eradication of violence against women and addressing corruption and i</w:t>
      </w:r>
      <w:r w:rsidR="00E45F76">
        <w:t>mpunity in the security sector.</w:t>
      </w:r>
      <w:r w:rsidR="004E299A">
        <w:t xml:space="preserve">  T</w:t>
      </w:r>
      <w:r w:rsidR="004E299A" w:rsidRPr="00BB12B0">
        <w:rPr>
          <w:rFonts w:cs="Times New Roman"/>
        </w:rPr>
        <w:t xml:space="preserve">he project will: </w:t>
      </w:r>
    </w:p>
    <w:p w:rsidR="004E299A" w:rsidRPr="00BB12B0" w:rsidRDefault="004E299A" w:rsidP="004E299A">
      <w:pPr>
        <w:numPr>
          <w:ilvl w:val="0"/>
          <w:numId w:val="1"/>
        </w:numPr>
        <w:tabs>
          <w:tab w:val="left" w:pos="90"/>
        </w:tabs>
        <w:autoSpaceDE w:val="0"/>
        <w:autoSpaceDN w:val="0"/>
        <w:adjustRightInd w:val="0"/>
        <w:spacing w:after="0" w:line="276" w:lineRule="auto"/>
        <w:contextualSpacing/>
        <w:jc w:val="both"/>
        <w:rPr>
          <w:rFonts w:cs="Times New Roman"/>
        </w:rPr>
      </w:pPr>
      <w:r w:rsidRPr="00BB12B0">
        <w:rPr>
          <w:rFonts w:cs="Times New Roman"/>
        </w:rPr>
        <w:t>Set the stage for the necessary consultations with the target countries to commence, with a view to transferring available knowledge on contemporary SSG principles and approaches</w:t>
      </w:r>
      <w:r w:rsidR="00AF2389">
        <w:rPr>
          <w:rFonts w:cs="Times New Roman"/>
        </w:rPr>
        <w:t xml:space="preserve"> and linkages to the post-2015 agenda</w:t>
      </w:r>
      <w:r w:rsidRPr="00BB12B0">
        <w:rPr>
          <w:rFonts w:cs="Times New Roman"/>
        </w:rPr>
        <w:t>;</w:t>
      </w:r>
    </w:p>
    <w:p w:rsidR="004E299A" w:rsidRPr="00BB12B0" w:rsidRDefault="004E299A" w:rsidP="004E299A">
      <w:pPr>
        <w:numPr>
          <w:ilvl w:val="0"/>
          <w:numId w:val="1"/>
        </w:numPr>
        <w:tabs>
          <w:tab w:val="left" w:pos="90"/>
        </w:tabs>
        <w:autoSpaceDE w:val="0"/>
        <w:autoSpaceDN w:val="0"/>
        <w:adjustRightInd w:val="0"/>
        <w:spacing w:after="0" w:line="276" w:lineRule="auto"/>
        <w:contextualSpacing/>
        <w:jc w:val="both"/>
        <w:rPr>
          <w:rFonts w:cs="Times New Roman"/>
        </w:rPr>
      </w:pPr>
      <w:r w:rsidRPr="00BB12B0">
        <w:rPr>
          <w:rFonts w:cs="Times New Roman"/>
        </w:rPr>
        <w:t>Use these initial consultations to forge partnerships and trust between target governments and UNDP in this sensitive area of work and thus set the stage for subsequent substantive UNDP support;</w:t>
      </w:r>
    </w:p>
    <w:p w:rsidR="004E299A" w:rsidRPr="00BB12B0" w:rsidRDefault="004E299A" w:rsidP="004E299A">
      <w:pPr>
        <w:numPr>
          <w:ilvl w:val="0"/>
          <w:numId w:val="1"/>
        </w:numPr>
        <w:tabs>
          <w:tab w:val="left" w:pos="90"/>
        </w:tabs>
        <w:autoSpaceDE w:val="0"/>
        <w:autoSpaceDN w:val="0"/>
        <w:adjustRightInd w:val="0"/>
        <w:spacing w:after="0" w:line="276" w:lineRule="auto"/>
        <w:contextualSpacing/>
        <w:jc w:val="both"/>
        <w:rPr>
          <w:rFonts w:cs="Times New Roman"/>
        </w:rPr>
      </w:pPr>
      <w:r w:rsidRPr="00BB12B0">
        <w:rPr>
          <w:rFonts w:cs="Times New Roman"/>
        </w:rPr>
        <w:t xml:space="preserve">Assist the UNDP mobilize the resources required to provide various forms of </w:t>
      </w:r>
      <w:r w:rsidR="00226C92">
        <w:rPr>
          <w:rFonts w:cs="Times New Roman"/>
        </w:rPr>
        <w:t xml:space="preserve">technical </w:t>
      </w:r>
      <w:r w:rsidRPr="00BB12B0">
        <w:rPr>
          <w:rFonts w:cs="Times New Roman"/>
        </w:rPr>
        <w:t>support to Security Sector Governance in the target countries;</w:t>
      </w:r>
    </w:p>
    <w:p w:rsidR="004E299A" w:rsidRPr="00BB12B0" w:rsidRDefault="00C718F4" w:rsidP="004E299A">
      <w:pPr>
        <w:numPr>
          <w:ilvl w:val="0"/>
          <w:numId w:val="1"/>
        </w:numPr>
        <w:tabs>
          <w:tab w:val="left" w:pos="90"/>
        </w:tabs>
        <w:autoSpaceDE w:val="0"/>
        <w:autoSpaceDN w:val="0"/>
        <w:adjustRightInd w:val="0"/>
        <w:spacing w:after="0" w:line="276" w:lineRule="auto"/>
        <w:contextualSpacing/>
        <w:jc w:val="both"/>
        <w:rPr>
          <w:rFonts w:cs="Times New Roman"/>
        </w:rPr>
      </w:pPr>
      <w:r>
        <w:rPr>
          <w:rFonts w:cs="Times New Roman"/>
        </w:rPr>
        <w:t xml:space="preserve">Tacitly bring onboard the views and </w:t>
      </w:r>
      <w:r w:rsidR="004E299A" w:rsidRPr="00BB12B0">
        <w:rPr>
          <w:rFonts w:cs="Times New Roman"/>
        </w:rPr>
        <w:t>perceptions of various oversight and management bodies of the security sector and build their capacity for such oversight functions;</w:t>
      </w:r>
    </w:p>
    <w:p w:rsidR="004E299A" w:rsidRPr="00BB12B0" w:rsidRDefault="004E299A" w:rsidP="004E299A">
      <w:pPr>
        <w:numPr>
          <w:ilvl w:val="0"/>
          <w:numId w:val="1"/>
        </w:numPr>
        <w:tabs>
          <w:tab w:val="left" w:pos="90"/>
        </w:tabs>
        <w:autoSpaceDE w:val="0"/>
        <w:autoSpaceDN w:val="0"/>
        <w:adjustRightInd w:val="0"/>
        <w:spacing w:after="0" w:line="276" w:lineRule="auto"/>
        <w:contextualSpacing/>
        <w:jc w:val="both"/>
        <w:rPr>
          <w:rFonts w:cs="Times New Roman"/>
        </w:rPr>
      </w:pPr>
      <w:r w:rsidRPr="00BB12B0">
        <w:rPr>
          <w:rFonts w:cs="Times New Roman"/>
        </w:rPr>
        <w:t xml:space="preserve">Support women’s </w:t>
      </w:r>
      <w:r w:rsidR="00AF2389">
        <w:rPr>
          <w:rFonts w:cs="Times New Roman"/>
        </w:rPr>
        <w:t xml:space="preserve">and youth </w:t>
      </w:r>
      <w:r w:rsidRPr="00BB12B0">
        <w:rPr>
          <w:rFonts w:cs="Times New Roman"/>
        </w:rPr>
        <w:t xml:space="preserve">organizations and groups to be part of the discourse on Security Sector Governance and more especially participating fully in National Security Policy formulation processes; </w:t>
      </w:r>
    </w:p>
    <w:p w:rsidR="004E299A" w:rsidRPr="00BB12B0" w:rsidRDefault="00AF2389" w:rsidP="004E299A">
      <w:pPr>
        <w:numPr>
          <w:ilvl w:val="0"/>
          <w:numId w:val="1"/>
        </w:numPr>
        <w:tabs>
          <w:tab w:val="left" w:pos="90"/>
        </w:tabs>
        <w:autoSpaceDE w:val="0"/>
        <w:autoSpaceDN w:val="0"/>
        <w:adjustRightInd w:val="0"/>
        <w:spacing w:after="0" w:line="276" w:lineRule="auto"/>
        <w:contextualSpacing/>
        <w:jc w:val="both"/>
        <w:rPr>
          <w:rFonts w:cs="Times New Roman"/>
        </w:rPr>
      </w:pPr>
      <w:r>
        <w:rPr>
          <w:rFonts w:cs="Times New Roman"/>
        </w:rPr>
        <w:t>Facilitate</w:t>
      </w:r>
      <w:r w:rsidR="004E299A" w:rsidRPr="00BB12B0">
        <w:rPr>
          <w:rFonts w:cs="Times New Roman"/>
        </w:rPr>
        <w:t xml:space="preserve"> a gender perspective to community safety and security in Pacific Island Countries</w:t>
      </w:r>
      <w:r w:rsidR="00C42685">
        <w:rPr>
          <w:rFonts w:cs="Times New Roman"/>
        </w:rPr>
        <w:t xml:space="preserve"> with gender equality in these processes being a significant objective with gender issues fully integrated into all training and capacity development and the use of sex disaggregated data being integral to the project strategy</w:t>
      </w:r>
      <w:r w:rsidR="00C718F4">
        <w:rPr>
          <w:rFonts w:cs="Times New Roman"/>
        </w:rPr>
        <w:t>;</w:t>
      </w:r>
    </w:p>
    <w:p w:rsidR="004E299A" w:rsidRPr="00BB12B0" w:rsidRDefault="004E299A" w:rsidP="004E299A">
      <w:pPr>
        <w:numPr>
          <w:ilvl w:val="0"/>
          <w:numId w:val="1"/>
        </w:numPr>
        <w:tabs>
          <w:tab w:val="left" w:pos="90"/>
        </w:tabs>
        <w:autoSpaceDE w:val="0"/>
        <w:autoSpaceDN w:val="0"/>
        <w:adjustRightInd w:val="0"/>
        <w:spacing w:after="0" w:line="276" w:lineRule="auto"/>
        <w:contextualSpacing/>
        <w:jc w:val="both"/>
        <w:rPr>
          <w:rFonts w:cs="Times New Roman"/>
        </w:rPr>
      </w:pPr>
      <w:r w:rsidRPr="00BB12B0">
        <w:rPr>
          <w:rFonts w:cs="Times New Roman"/>
        </w:rPr>
        <w:t xml:space="preserve">Assist </w:t>
      </w:r>
      <w:r>
        <w:rPr>
          <w:rFonts w:cs="Times New Roman"/>
        </w:rPr>
        <w:t xml:space="preserve">Fiji to develop and </w:t>
      </w:r>
      <w:r w:rsidRPr="00BB12B0">
        <w:rPr>
          <w:rFonts w:cs="Times New Roman"/>
        </w:rPr>
        <w:t>Pa</w:t>
      </w:r>
      <w:r>
        <w:rPr>
          <w:rFonts w:cs="Times New Roman"/>
        </w:rPr>
        <w:t xml:space="preserve">pua New Guinea to implement </w:t>
      </w:r>
      <w:r w:rsidRPr="00BB12B0">
        <w:rPr>
          <w:rFonts w:cs="Times New Roman"/>
        </w:rPr>
        <w:t>National Security Policy and Strategic Action Plan;</w:t>
      </w:r>
      <w:r w:rsidR="0080017B">
        <w:rPr>
          <w:rFonts w:cs="Times New Roman"/>
        </w:rPr>
        <w:t xml:space="preserve"> and</w:t>
      </w:r>
    </w:p>
    <w:p w:rsidR="004E299A" w:rsidRPr="0080017B" w:rsidRDefault="0080017B" w:rsidP="0080017B">
      <w:pPr>
        <w:pStyle w:val="ListParagraph"/>
        <w:numPr>
          <w:ilvl w:val="0"/>
          <w:numId w:val="1"/>
        </w:numPr>
        <w:tabs>
          <w:tab w:val="left" w:pos="90"/>
        </w:tabs>
        <w:autoSpaceDE w:val="0"/>
        <w:autoSpaceDN w:val="0"/>
        <w:adjustRightInd w:val="0"/>
        <w:spacing w:after="0" w:line="276" w:lineRule="auto"/>
        <w:jc w:val="both"/>
        <w:rPr>
          <w:rFonts w:cs="Times New Roman"/>
        </w:rPr>
      </w:pPr>
      <w:r w:rsidRPr="0080017B">
        <w:rPr>
          <w:rFonts w:cs="Times New Roman"/>
        </w:rPr>
        <w:t>Adapt the UN SSR guidance notes for the Pacific context, update the 2010 previous knowledge product of ‘Enhancing Security Sector Governance in the Pacific Region: A strategic framework’ to reflect developments in the fast five years and the post-2015 agenda, and provide detail</w:t>
      </w:r>
      <w:r w:rsidR="00226C92">
        <w:rPr>
          <w:rFonts w:cs="Times New Roman"/>
        </w:rPr>
        <w:t>s</w:t>
      </w:r>
      <w:r w:rsidRPr="0080017B">
        <w:rPr>
          <w:rFonts w:cs="Times New Roman"/>
        </w:rPr>
        <w:t xml:space="preserve"> on best practices for</w:t>
      </w:r>
      <w:r w:rsidR="00226C92">
        <w:rPr>
          <w:rFonts w:cs="Times New Roman"/>
        </w:rPr>
        <w:t xml:space="preserve"> gender-sensitive</w:t>
      </w:r>
      <w:r w:rsidRPr="0080017B">
        <w:rPr>
          <w:rFonts w:cs="Times New Roman"/>
        </w:rPr>
        <w:t xml:space="preserve"> security sector governance in the Pacific Region.</w:t>
      </w:r>
    </w:p>
    <w:p w:rsidR="00BF7DB5" w:rsidRPr="00BB12B0" w:rsidRDefault="00BF7DB5" w:rsidP="00F916CA">
      <w:pPr>
        <w:tabs>
          <w:tab w:val="left" w:pos="90"/>
        </w:tabs>
        <w:autoSpaceDE w:val="0"/>
        <w:autoSpaceDN w:val="0"/>
        <w:adjustRightInd w:val="0"/>
        <w:spacing w:after="0" w:line="276" w:lineRule="auto"/>
        <w:jc w:val="both"/>
        <w:rPr>
          <w:rFonts w:cs="Times New Roman"/>
        </w:rPr>
      </w:pPr>
    </w:p>
    <w:p w:rsidR="00FD321E" w:rsidRPr="00002D30" w:rsidRDefault="0092053F" w:rsidP="00F916CA">
      <w:pPr>
        <w:pStyle w:val="ListParagraph"/>
        <w:numPr>
          <w:ilvl w:val="0"/>
          <w:numId w:val="33"/>
        </w:numPr>
        <w:tabs>
          <w:tab w:val="left" w:pos="930"/>
        </w:tabs>
        <w:spacing w:after="60" w:line="276" w:lineRule="auto"/>
        <w:jc w:val="both"/>
        <w:rPr>
          <w:rFonts w:eastAsia="Times New Roman" w:cs="Times New Roman"/>
          <w:b/>
          <w:sz w:val="24"/>
          <w:szCs w:val="24"/>
          <w:lang w:val="en-GB"/>
        </w:rPr>
      </w:pPr>
      <w:r w:rsidRPr="00002D30">
        <w:rPr>
          <w:rFonts w:eastAsia="Times New Roman" w:cs="Times New Roman"/>
          <w:b/>
          <w:sz w:val="24"/>
          <w:szCs w:val="24"/>
          <w:lang w:val="en-GB"/>
        </w:rPr>
        <w:t xml:space="preserve"> </w:t>
      </w:r>
      <w:r w:rsidR="00FD321E" w:rsidRPr="00002D30">
        <w:rPr>
          <w:rFonts w:cs="Times New Roman"/>
          <w:b/>
          <w:sz w:val="24"/>
          <w:szCs w:val="24"/>
        </w:rPr>
        <w:t xml:space="preserve">Implementation </w:t>
      </w:r>
      <w:r w:rsidR="00247446">
        <w:rPr>
          <w:rFonts w:cs="Times New Roman"/>
          <w:b/>
          <w:sz w:val="24"/>
          <w:szCs w:val="24"/>
        </w:rPr>
        <w:t>approach</w:t>
      </w:r>
    </w:p>
    <w:p w:rsidR="00832FE4" w:rsidRPr="00BB12B0" w:rsidRDefault="00832FE4" w:rsidP="00F916CA">
      <w:pPr>
        <w:tabs>
          <w:tab w:val="left" w:pos="90"/>
        </w:tabs>
        <w:autoSpaceDE w:val="0"/>
        <w:autoSpaceDN w:val="0"/>
        <w:adjustRightInd w:val="0"/>
        <w:spacing w:after="0" w:line="276" w:lineRule="auto"/>
        <w:jc w:val="both"/>
        <w:rPr>
          <w:rFonts w:cs="Times New Roman"/>
        </w:rPr>
      </w:pPr>
    </w:p>
    <w:p w:rsidR="00BB0AFB" w:rsidRPr="00BB0AFB" w:rsidRDefault="00BB0AFB" w:rsidP="00F916CA">
      <w:pPr>
        <w:tabs>
          <w:tab w:val="left" w:pos="90"/>
        </w:tabs>
        <w:autoSpaceDE w:val="0"/>
        <w:autoSpaceDN w:val="0"/>
        <w:adjustRightInd w:val="0"/>
        <w:spacing w:after="0" w:line="276" w:lineRule="auto"/>
        <w:jc w:val="both"/>
        <w:rPr>
          <w:rFonts w:cs="Times New Roman"/>
          <w:b/>
          <w:i/>
        </w:rPr>
      </w:pPr>
      <w:r w:rsidRPr="00BB0AFB">
        <w:rPr>
          <w:rFonts w:cs="Times New Roman"/>
          <w:b/>
          <w:i/>
        </w:rPr>
        <w:t xml:space="preserve">Building partnerships </w:t>
      </w:r>
    </w:p>
    <w:p w:rsidR="00BB0AFB" w:rsidRDefault="00BB0AFB" w:rsidP="00F916CA">
      <w:pPr>
        <w:tabs>
          <w:tab w:val="left" w:pos="90"/>
        </w:tabs>
        <w:autoSpaceDE w:val="0"/>
        <w:autoSpaceDN w:val="0"/>
        <w:adjustRightInd w:val="0"/>
        <w:spacing w:after="0" w:line="276" w:lineRule="auto"/>
        <w:jc w:val="both"/>
        <w:rPr>
          <w:rFonts w:cs="Times New Roman"/>
        </w:rPr>
      </w:pPr>
    </w:p>
    <w:p w:rsidR="00247446" w:rsidRDefault="00247446" w:rsidP="00F916CA">
      <w:pPr>
        <w:tabs>
          <w:tab w:val="left" w:pos="90"/>
        </w:tabs>
        <w:autoSpaceDE w:val="0"/>
        <w:autoSpaceDN w:val="0"/>
        <w:adjustRightInd w:val="0"/>
        <w:spacing w:after="0" w:line="276" w:lineRule="auto"/>
        <w:jc w:val="both"/>
        <w:rPr>
          <w:rFonts w:cs="Times New Roman"/>
        </w:rPr>
      </w:pPr>
      <w:r w:rsidRPr="00832FE4">
        <w:rPr>
          <w:rFonts w:cs="Times New Roman"/>
        </w:rPr>
        <w:t xml:space="preserve">The role of </w:t>
      </w:r>
      <w:r w:rsidR="00226C92">
        <w:rPr>
          <w:rFonts w:cs="Times New Roman"/>
        </w:rPr>
        <w:t xml:space="preserve">certain </w:t>
      </w:r>
      <w:r w:rsidRPr="00832FE4">
        <w:rPr>
          <w:rFonts w:cs="Times New Roman"/>
        </w:rPr>
        <w:t xml:space="preserve">Regional Organizations in </w:t>
      </w:r>
      <w:r>
        <w:rPr>
          <w:rFonts w:cs="Times New Roman"/>
        </w:rPr>
        <w:t>SSG</w:t>
      </w:r>
      <w:r w:rsidRPr="00832FE4">
        <w:rPr>
          <w:rFonts w:cs="Times New Roman"/>
        </w:rPr>
        <w:t xml:space="preserve"> in the </w:t>
      </w:r>
      <w:r w:rsidR="00226C92">
        <w:rPr>
          <w:rFonts w:cs="Times New Roman"/>
        </w:rPr>
        <w:t>P</w:t>
      </w:r>
      <w:r w:rsidRPr="00832FE4">
        <w:rPr>
          <w:rFonts w:cs="Times New Roman"/>
        </w:rPr>
        <w:t xml:space="preserve">acific is critical. The </w:t>
      </w:r>
      <w:r w:rsidR="00226C92">
        <w:rPr>
          <w:rFonts w:cs="Times New Roman"/>
        </w:rPr>
        <w:t xml:space="preserve">strong </w:t>
      </w:r>
      <w:r w:rsidRPr="00832FE4">
        <w:rPr>
          <w:rFonts w:cs="Times New Roman"/>
        </w:rPr>
        <w:t xml:space="preserve">partnership UNDP has established with the Pacific Island Forum Secretariat </w:t>
      </w:r>
      <w:r w:rsidR="00226C92">
        <w:rPr>
          <w:rFonts w:cs="Times New Roman"/>
        </w:rPr>
        <w:t xml:space="preserve">since 2008 </w:t>
      </w:r>
      <w:r w:rsidRPr="00832FE4">
        <w:rPr>
          <w:rFonts w:cs="Times New Roman"/>
        </w:rPr>
        <w:t xml:space="preserve">will be built upon </w:t>
      </w:r>
      <w:r w:rsidR="00226C92">
        <w:rPr>
          <w:rFonts w:cs="Times New Roman"/>
        </w:rPr>
        <w:t xml:space="preserve">by </w:t>
      </w:r>
      <w:r w:rsidRPr="00832FE4">
        <w:rPr>
          <w:rFonts w:cs="Times New Roman"/>
        </w:rPr>
        <w:t xml:space="preserve">harnessing their key role in the </w:t>
      </w:r>
      <w:r w:rsidR="00226C92">
        <w:rPr>
          <w:rFonts w:cs="Times New Roman"/>
        </w:rPr>
        <w:t>P</w:t>
      </w:r>
      <w:r w:rsidRPr="00832FE4">
        <w:rPr>
          <w:rFonts w:cs="Times New Roman"/>
        </w:rPr>
        <w:t xml:space="preserve">acific of developing conflict prevention and peacebuilding frameworks </w:t>
      </w:r>
      <w:r w:rsidR="005F7480">
        <w:rPr>
          <w:rFonts w:cs="Times New Roman"/>
        </w:rPr>
        <w:t xml:space="preserve">accepted by all member states.  </w:t>
      </w:r>
      <w:r w:rsidRPr="00832FE4">
        <w:rPr>
          <w:rFonts w:cs="Times New Roman"/>
        </w:rPr>
        <w:t>UNDP will leverage its comparative advantage and neutrality in the</w:t>
      </w:r>
      <w:r w:rsidR="005F7480">
        <w:rPr>
          <w:rFonts w:cs="Times New Roman"/>
        </w:rPr>
        <w:t xml:space="preserve"> area of security sector </w:t>
      </w:r>
      <w:r w:rsidRPr="00832FE4">
        <w:rPr>
          <w:rFonts w:cs="Times New Roman"/>
        </w:rPr>
        <w:t xml:space="preserve">governance and </w:t>
      </w:r>
      <w:r w:rsidR="005F7480">
        <w:rPr>
          <w:rFonts w:cs="Times New Roman"/>
        </w:rPr>
        <w:t xml:space="preserve">explore partnerships </w:t>
      </w:r>
      <w:r w:rsidRPr="00832FE4">
        <w:rPr>
          <w:rFonts w:cs="Times New Roman"/>
        </w:rPr>
        <w:t xml:space="preserve">with </w:t>
      </w:r>
      <w:r w:rsidR="005F7480">
        <w:rPr>
          <w:rFonts w:cs="Times New Roman"/>
        </w:rPr>
        <w:t>other</w:t>
      </w:r>
      <w:r w:rsidR="00226C92">
        <w:rPr>
          <w:rFonts w:cs="Times New Roman"/>
        </w:rPr>
        <w:t xml:space="preserve"> organisations</w:t>
      </w:r>
      <w:r w:rsidR="00996E80">
        <w:rPr>
          <w:rFonts w:cs="Times New Roman"/>
        </w:rPr>
        <w:t xml:space="preserve"> as required, including relevant UN agencies such as UN Women, UNODC, OHCHR and DPKO who are members of the UN Inter-Agency SSR Task Force (IASSRTF).</w:t>
      </w:r>
    </w:p>
    <w:p w:rsidR="00BB0AFB" w:rsidRDefault="00BB0AFB" w:rsidP="00F916CA">
      <w:pPr>
        <w:tabs>
          <w:tab w:val="left" w:pos="90"/>
        </w:tabs>
        <w:autoSpaceDE w:val="0"/>
        <w:autoSpaceDN w:val="0"/>
        <w:adjustRightInd w:val="0"/>
        <w:spacing w:after="0" w:line="276" w:lineRule="auto"/>
        <w:jc w:val="both"/>
        <w:rPr>
          <w:rFonts w:cs="Times New Roman"/>
        </w:rPr>
      </w:pPr>
    </w:p>
    <w:p w:rsidR="00BB0AFB" w:rsidRPr="00BB0AFB" w:rsidRDefault="00BB0AFB" w:rsidP="00F916CA">
      <w:pPr>
        <w:tabs>
          <w:tab w:val="left" w:pos="90"/>
        </w:tabs>
        <w:autoSpaceDE w:val="0"/>
        <w:autoSpaceDN w:val="0"/>
        <w:adjustRightInd w:val="0"/>
        <w:spacing w:after="0" w:line="276" w:lineRule="auto"/>
        <w:jc w:val="both"/>
        <w:rPr>
          <w:rFonts w:cs="Times New Roman"/>
          <w:b/>
          <w:i/>
        </w:rPr>
      </w:pPr>
      <w:r w:rsidRPr="00BB0AFB">
        <w:rPr>
          <w:rFonts w:cs="Times New Roman"/>
          <w:b/>
          <w:i/>
        </w:rPr>
        <w:t>Linking with other projects</w:t>
      </w:r>
    </w:p>
    <w:p w:rsidR="00BB0AFB" w:rsidRDefault="00BB0AFB" w:rsidP="00F916CA">
      <w:pPr>
        <w:tabs>
          <w:tab w:val="left" w:pos="90"/>
        </w:tabs>
        <w:autoSpaceDE w:val="0"/>
        <w:autoSpaceDN w:val="0"/>
        <w:adjustRightInd w:val="0"/>
        <w:spacing w:after="0" w:line="276" w:lineRule="auto"/>
        <w:jc w:val="both"/>
        <w:rPr>
          <w:rFonts w:cs="Times New Roman"/>
        </w:rPr>
      </w:pPr>
    </w:p>
    <w:p w:rsidR="00247446" w:rsidRPr="00832FE4" w:rsidRDefault="00226C92" w:rsidP="00F916CA">
      <w:pPr>
        <w:tabs>
          <w:tab w:val="left" w:pos="90"/>
        </w:tabs>
        <w:autoSpaceDE w:val="0"/>
        <w:autoSpaceDN w:val="0"/>
        <w:adjustRightInd w:val="0"/>
        <w:spacing w:after="0" w:line="276" w:lineRule="auto"/>
        <w:jc w:val="both"/>
        <w:rPr>
          <w:rFonts w:cs="Times New Roman"/>
        </w:rPr>
      </w:pPr>
      <w:r>
        <w:rPr>
          <w:rFonts w:cs="Times New Roman"/>
        </w:rPr>
        <w:t>This project will</w:t>
      </w:r>
      <w:r w:rsidR="005F7480">
        <w:rPr>
          <w:rFonts w:cs="Times New Roman"/>
        </w:rPr>
        <w:t xml:space="preserve"> link with </w:t>
      </w:r>
      <w:r>
        <w:rPr>
          <w:rFonts w:cs="Times New Roman"/>
        </w:rPr>
        <w:t xml:space="preserve">other </w:t>
      </w:r>
      <w:r w:rsidR="00247446" w:rsidRPr="00832FE4">
        <w:rPr>
          <w:rFonts w:cs="Times New Roman"/>
        </w:rPr>
        <w:t xml:space="preserve">ongoing </w:t>
      </w:r>
      <w:r>
        <w:rPr>
          <w:rFonts w:cs="Times New Roman"/>
        </w:rPr>
        <w:t xml:space="preserve">UNDP </w:t>
      </w:r>
      <w:r w:rsidR="005F7480">
        <w:rPr>
          <w:rFonts w:cs="Times New Roman"/>
        </w:rPr>
        <w:t xml:space="preserve">projects </w:t>
      </w:r>
      <w:r>
        <w:rPr>
          <w:rFonts w:cs="Times New Roman"/>
        </w:rPr>
        <w:t>on topics such as parliamentary strengthening, s</w:t>
      </w:r>
      <w:r w:rsidR="00247446" w:rsidRPr="00832FE4">
        <w:rPr>
          <w:rFonts w:cs="Times New Roman"/>
        </w:rPr>
        <w:t xml:space="preserve">trengthening </w:t>
      </w:r>
      <w:r>
        <w:rPr>
          <w:rFonts w:cs="Times New Roman"/>
        </w:rPr>
        <w:t>c</w:t>
      </w:r>
      <w:r w:rsidR="00247446" w:rsidRPr="00832FE4">
        <w:rPr>
          <w:rFonts w:cs="Times New Roman"/>
        </w:rPr>
        <w:t>itizen</w:t>
      </w:r>
      <w:r>
        <w:rPr>
          <w:rFonts w:cs="Times New Roman"/>
        </w:rPr>
        <w:t xml:space="preserve"> engagement</w:t>
      </w:r>
      <w:r w:rsidR="005F7480">
        <w:rPr>
          <w:rFonts w:cs="Times New Roman"/>
        </w:rPr>
        <w:t>, and Access to Justice</w:t>
      </w:r>
      <w:r w:rsidR="00247446" w:rsidRPr="00832FE4">
        <w:rPr>
          <w:rFonts w:cs="Times New Roman"/>
        </w:rPr>
        <w:t>. The project w</w:t>
      </w:r>
      <w:r w:rsidR="005F7480">
        <w:rPr>
          <w:rFonts w:cs="Times New Roman"/>
        </w:rPr>
        <w:t xml:space="preserve">ill </w:t>
      </w:r>
      <w:r>
        <w:rPr>
          <w:rFonts w:cs="Times New Roman"/>
        </w:rPr>
        <w:t xml:space="preserve">also </w:t>
      </w:r>
      <w:r w:rsidR="005F7480">
        <w:rPr>
          <w:rFonts w:cs="Times New Roman"/>
        </w:rPr>
        <w:t xml:space="preserve">be </w:t>
      </w:r>
      <w:r>
        <w:rPr>
          <w:rFonts w:cs="Times New Roman"/>
        </w:rPr>
        <w:t>l</w:t>
      </w:r>
      <w:r w:rsidR="005F7480">
        <w:rPr>
          <w:rFonts w:cs="Times New Roman"/>
        </w:rPr>
        <w:t>inked to other</w:t>
      </w:r>
      <w:r w:rsidR="00247446" w:rsidRPr="00832FE4">
        <w:rPr>
          <w:rFonts w:cs="Times New Roman"/>
        </w:rPr>
        <w:t xml:space="preserve"> </w:t>
      </w:r>
      <w:r>
        <w:rPr>
          <w:rFonts w:cs="Times New Roman"/>
        </w:rPr>
        <w:t xml:space="preserve">UNDP </w:t>
      </w:r>
      <w:r w:rsidR="00247446" w:rsidRPr="00832FE4">
        <w:rPr>
          <w:rFonts w:cs="Times New Roman"/>
        </w:rPr>
        <w:t>governance initiatives at individual country levels. Technical expertise as required for this security sector governance initiative in member states will be drawn from the Bureau for Policy and Programme Support</w:t>
      </w:r>
      <w:r>
        <w:rPr>
          <w:rFonts w:cs="Times New Roman"/>
        </w:rPr>
        <w:t xml:space="preserve"> (in New York and Bangkok)</w:t>
      </w:r>
      <w:r w:rsidR="00247446" w:rsidRPr="00832FE4">
        <w:rPr>
          <w:rFonts w:cs="Times New Roman"/>
        </w:rPr>
        <w:t xml:space="preserve"> as well as the United Nations Security Sector Reform unit</w:t>
      </w:r>
      <w:r>
        <w:rPr>
          <w:rFonts w:cs="Times New Roman"/>
        </w:rPr>
        <w:t xml:space="preserve"> in DPKO in New York</w:t>
      </w:r>
      <w:r w:rsidR="00247446" w:rsidRPr="00832FE4">
        <w:rPr>
          <w:rFonts w:cs="Times New Roman"/>
        </w:rPr>
        <w:t xml:space="preserve">. The regional platform will be used to strengthen partnerships and develop synergies with national players, donors and other development partners. </w:t>
      </w:r>
      <w:r>
        <w:rPr>
          <w:rFonts w:cs="Times New Roman"/>
        </w:rPr>
        <w:t>During the</w:t>
      </w:r>
      <w:r w:rsidR="00247446" w:rsidRPr="00832FE4">
        <w:rPr>
          <w:rFonts w:cs="Times New Roman"/>
        </w:rPr>
        <w:t xml:space="preserve"> implementation of the project, various implementing partners with regional networks will be used</w:t>
      </w:r>
      <w:r>
        <w:rPr>
          <w:rFonts w:cs="Times New Roman"/>
        </w:rPr>
        <w:t xml:space="preserve">, depending on their </w:t>
      </w:r>
      <w:r w:rsidR="00247446" w:rsidRPr="00832FE4">
        <w:rPr>
          <w:rFonts w:cs="Times New Roman"/>
        </w:rPr>
        <w:t>area of work and expertise.</w:t>
      </w:r>
    </w:p>
    <w:p w:rsidR="00033EFA" w:rsidRDefault="00033EFA" w:rsidP="00F916CA">
      <w:pPr>
        <w:tabs>
          <w:tab w:val="left" w:pos="90"/>
        </w:tabs>
        <w:autoSpaceDE w:val="0"/>
        <w:autoSpaceDN w:val="0"/>
        <w:adjustRightInd w:val="0"/>
        <w:spacing w:after="0" w:line="276" w:lineRule="auto"/>
        <w:jc w:val="both"/>
        <w:rPr>
          <w:rFonts w:cs="Times New Roman"/>
        </w:rPr>
      </w:pPr>
    </w:p>
    <w:p w:rsidR="00033EFA" w:rsidRPr="00BB0AFB" w:rsidRDefault="00BB0AFB" w:rsidP="00F916CA">
      <w:pPr>
        <w:tabs>
          <w:tab w:val="left" w:pos="90"/>
        </w:tabs>
        <w:autoSpaceDE w:val="0"/>
        <w:autoSpaceDN w:val="0"/>
        <w:adjustRightInd w:val="0"/>
        <w:spacing w:after="0" w:line="276" w:lineRule="auto"/>
        <w:jc w:val="both"/>
        <w:rPr>
          <w:rFonts w:eastAsia="Times New Roman" w:cs="Times New Roman"/>
          <w:b/>
          <w:i/>
          <w:lang w:val="en-GB"/>
        </w:rPr>
      </w:pPr>
      <w:r w:rsidRPr="00BB0AFB">
        <w:rPr>
          <w:rFonts w:eastAsia="Times New Roman" w:cs="Times New Roman"/>
          <w:b/>
          <w:i/>
          <w:lang w:val="en-GB"/>
        </w:rPr>
        <w:t>Engaging the national</w:t>
      </w:r>
      <w:r w:rsidR="0053672B">
        <w:rPr>
          <w:rFonts w:eastAsia="Times New Roman" w:cs="Times New Roman"/>
          <w:b/>
          <w:i/>
          <w:lang w:val="en-GB"/>
        </w:rPr>
        <w:t xml:space="preserve"> and subnational levels</w:t>
      </w:r>
    </w:p>
    <w:p w:rsidR="00033EFA" w:rsidRDefault="00033EFA" w:rsidP="00F916CA">
      <w:pPr>
        <w:tabs>
          <w:tab w:val="left" w:pos="90"/>
        </w:tabs>
        <w:autoSpaceDE w:val="0"/>
        <w:autoSpaceDN w:val="0"/>
        <w:adjustRightInd w:val="0"/>
        <w:spacing w:after="0" w:line="276" w:lineRule="auto"/>
        <w:jc w:val="both"/>
        <w:rPr>
          <w:rFonts w:eastAsia="Times New Roman" w:cs="Times New Roman"/>
          <w:lang w:val="en-GB"/>
        </w:rPr>
      </w:pPr>
    </w:p>
    <w:p w:rsidR="0053672B" w:rsidRPr="008D4247" w:rsidRDefault="00033EFA" w:rsidP="008D4247">
      <w:pPr>
        <w:tabs>
          <w:tab w:val="left" w:pos="90"/>
        </w:tabs>
        <w:autoSpaceDE w:val="0"/>
        <w:autoSpaceDN w:val="0"/>
        <w:adjustRightInd w:val="0"/>
        <w:spacing w:after="0" w:line="276" w:lineRule="auto"/>
        <w:jc w:val="both"/>
        <w:rPr>
          <w:rFonts w:eastAsia="Times New Roman" w:cs="Times New Roman"/>
          <w:lang w:val="en-GB"/>
        </w:rPr>
      </w:pPr>
      <w:r w:rsidRPr="00832FE4">
        <w:rPr>
          <w:rFonts w:eastAsia="Times New Roman" w:cs="Times New Roman"/>
          <w:lang w:val="en-GB"/>
        </w:rPr>
        <w:t>The governance and management of security at the national level</w:t>
      </w:r>
      <w:r>
        <w:rPr>
          <w:rFonts w:eastAsia="Times New Roman" w:cs="Times New Roman"/>
          <w:lang w:val="en-GB"/>
        </w:rPr>
        <w:t xml:space="preserve"> normally</w:t>
      </w:r>
      <w:r w:rsidRPr="00832FE4">
        <w:rPr>
          <w:rFonts w:eastAsia="Times New Roman" w:cs="Times New Roman"/>
          <w:lang w:val="en-GB"/>
        </w:rPr>
        <w:t xml:space="preserve"> fall</w:t>
      </w:r>
      <w:r w:rsidR="00226C92">
        <w:rPr>
          <w:rFonts w:eastAsia="Times New Roman" w:cs="Times New Roman"/>
          <w:lang w:val="en-GB"/>
        </w:rPr>
        <w:t>s</w:t>
      </w:r>
      <w:r w:rsidRPr="00832FE4">
        <w:rPr>
          <w:rFonts w:eastAsia="Times New Roman" w:cs="Times New Roman"/>
          <w:lang w:val="en-GB"/>
        </w:rPr>
        <w:t xml:space="preserve"> under the collective responsibility of various departments within the executive. The organization of these departments is usually determined under specific legal and regulatory frameworks, such as the constitution, relevant legislation and the national security policy, which define the relations of hierarchy and interdependence between the various actors of the executive involved in security sector governance. </w:t>
      </w:r>
      <w:r w:rsidR="005F7480">
        <w:rPr>
          <w:rFonts w:eastAsia="Times New Roman" w:cs="Times New Roman"/>
          <w:lang w:val="en-GB"/>
        </w:rPr>
        <w:t xml:space="preserve"> Acknowledging </w:t>
      </w:r>
      <w:r w:rsidRPr="00832FE4">
        <w:rPr>
          <w:rFonts w:eastAsia="Times New Roman" w:cs="Times New Roman"/>
          <w:lang w:val="en-GB"/>
        </w:rPr>
        <w:t xml:space="preserve">variations in security arrangements amongst states, </w:t>
      </w:r>
      <w:r w:rsidR="005F7480">
        <w:rPr>
          <w:rFonts w:eastAsia="Times New Roman" w:cs="Times New Roman"/>
          <w:lang w:val="en-GB"/>
        </w:rPr>
        <w:t xml:space="preserve">generally </w:t>
      </w:r>
      <w:r w:rsidRPr="00832FE4">
        <w:rPr>
          <w:rFonts w:eastAsia="Times New Roman" w:cs="Times New Roman"/>
          <w:lang w:val="en-GB"/>
        </w:rPr>
        <w:t>this responsibility is carried out by statutory defence and security forces, justice and rule of law institutions, public oversight and management bodies, civil emergency units and non – security statutory bodies such as private security companies, traditi</w:t>
      </w:r>
      <w:r w:rsidR="005F7480">
        <w:rPr>
          <w:rFonts w:eastAsia="Times New Roman" w:cs="Times New Roman"/>
          <w:lang w:val="en-GB"/>
        </w:rPr>
        <w:t xml:space="preserve">onal and customary authorities.   </w:t>
      </w:r>
      <w:r w:rsidRPr="00832FE4">
        <w:rPr>
          <w:rFonts w:eastAsia="Times New Roman" w:cs="Times New Roman"/>
          <w:lang w:val="en-GB"/>
        </w:rPr>
        <w:t xml:space="preserve">This project will engage authorities </w:t>
      </w:r>
      <w:r w:rsidR="0053672B">
        <w:rPr>
          <w:rFonts w:eastAsia="Times New Roman" w:cs="Times New Roman"/>
          <w:lang w:val="en-GB"/>
        </w:rPr>
        <w:t xml:space="preserve">both at the national and subnational levels </w:t>
      </w:r>
      <w:r w:rsidRPr="00832FE4">
        <w:rPr>
          <w:rFonts w:eastAsia="Times New Roman" w:cs="Times New Roman"/>
          <w:lang w:val="en-GB"/>
        </w:rPr>
        <w:t>in the target countries to build relationships and sustain commitment in developing policies</w:t>
      </w:r>
      <w:r>
        <w:rPr>
          <w:rFonts w:eastAsia="Times New Roman" w:cs="Times New Roman"/>
          <w:lang w:val="en-GB"/>
        </w:rPr>
        <w:t xml:space="preserve"> and implementing reform</w:t>
      </w:r>
      <w:r w:rsidR="0053672B">
        <w:rPr>
          <w:rFonts w:eastAsia="Times New Roman" w:cs="Times New Roman"/>
          <w:lang w:val="en-GB"/>
        </w:rPr>
        <w:t xml:space="preserve"> that are people centric</w:t>
      </w:r>
      <w:r w:rsidRPr="00832FE4">
        <w:rPr>
          <w:rFonts w:eastAsia="Times New Roman" w:cs="Times New Roman"/>
          <w:lang w:val="en-GB"/>
        </w:rPr>
        <w:t xml:space="preserve">. </w:t>
      </w:r>
      <w:r w:rsidR="008D4247">
        <w:rPr>
          <w:rFonts w:eastAsia="Times New Roman" w:cs="Times New Roman"/>
          <w:lang w:val="en-GB"/>
        </w:rPr>
        <w:t xml:space="preserve"> </w:t>
      </w:r>
      <w:r w:rsidR="0053672B" w:rsidRPr="00F916CA">
        <w:rPr>
          <w:lang w:val="en-CA"/>
        </w:rPr>
        <w:t xml:space="preserve">Given the challenges posed by rapid urbanization that entail internal security threats this project will </w:t>
      </w:r>
      <w:r w:rsidR="008D4247">
        <w:rPr>
          <w:lang w:val="en-CA"/>
        </w:rPr>
        <w:t xml:space="preserve">also </w:t>
      </w:r>
      <w:r w:rsidR="00F916CA" w:rsidRPr="00F916CA">
        <w:rPr>
          <w:lang w:val="en-CA"/>
        </w:rPr>
        <w:t xml:space="preserve">include </w:t>
      </w:r>
      <w:r w:rsidR="0053672B" w:rsidRPr="00F916CA">
        <w:rPr>
          <w:lang w:val="en-CA"/>
        </w:rPr>
        <w:t xml:space="preserve">municipalities </w:t>
      </w:r>
      <w:r w:rsidR="008D4247">
        <w:rPr>
          <w:lang w:val="en-CA"/>
        </w:rPr>
        <w:t>in the discussions.</w:t>
      </w:r>
      <w:r w:rsidR="0080017B">
        <w:rPr>
          <w:lang w:val="en-CA"/>
        </w:rPr>
        <w:t xml:space="preserve">   </w:t>
      </w:r>
      <w:r w:rsidR="00741E20">
        <w:rPr>
          <w:lang w:val="en-CA"/>
        </w:rPr>
        <w:t>As t</w:t>
      </w:r>
      <w:r w:rsidR="0080017B">
        <w:rPr>
          <w:lang w:val="en-CA"/>
        </w:rPr>
        <w:t xml:space="preserve">he achievement of the project outputs is </w:t>
      </w:r>
      <w:r w:rsidR="00741E20">
        <w:rPr>
          <w:lang w:val="en-CA"/>
        </w:rPr>
        <w:t xml:space="preserve">very much </w:t>
      </w:r>
      <w:r w:rsidR="0080017B">
        <w:rPr>
          <w:lang w:val="en-CA"/>
        </w:rPr>
        <w:t>dependent on this ongoing and proactive involvement at the national and subnational leve</w:t>
      </w:r>
      <w:r w:rsidR="00741E20">
        <w:rPr>
          <w:lang w:val="en-CA"/>
        </w:rPr>
        <w:t>ls the risk analysis at Annex 2 identifies potential risks and mitigation measures.</w:t>
      </w:r>
    </w:p>
    <w:p w:rsidR="00BB0AFB" w:rsidRDefault="00BB0AFB" w:rsidP="00F916CA">
      <w:pPr>
        <w:tabs>
          <w:tab w:val="left" w:pos="90"/>
        </w:tabs>
        <w:autoSpaceDE w:val="0"/>
        <w:autoSpaceDN w:val="0"/>
        <w:adjustRightInd w:val="0"/>
        <w:spacing w:after="0" w:line="276" w:lineRule="auto"/>
        <w:jc w:val="both"/>
        <w:rPr>
          <w:rFonts w:eastAsia="Times New Roman" w:cs="Times New Roman"/>
          <w:lang w:val="en-GB"/>
        </w:rPr>
      </w:pPr>
    </w:p>
    <w:p w:rsidR="00BB0AFB" w:rsidRPr="00BB0AFB" w:rsidRDefault="00BB0AFB" w:rsidP="00F916CA">
      <w:pPr>
        <w:tabs>
          <w:tab w:val="left" w:pos="90"/>
        </w:tabs>
        <w:autoSpaceDE w:val="0"/>
        <w:autoSpaceDN w:val="0"/>
        <w:adjustRightInd w:val="0"/>
        <w:spacing w:after="0" w:line="276" w:lineRule="auto"/>
        <w:jc w:val="both"/>
        <w:rPr>
          <w:rFonts w:eastAsia="Times New Roman" w:cs="Times New Roman"/>
          <w:b/>
          <w:i/>
          <w:lang w:val="en-GB"/>
        </w:rPr>
      </w:pPr>
      <w:r w:rsidRPr="00BB0AFB">
        <w:rPr>
          <w:rFonts w:eastAsia="Times New Roman" w:cs="Times New Roman"/>
          <w:b/>
          <w:i/>
          <w:lang w:val="en-GB"/>
        </w:rPr>
        <w:t>Civil Society participation</w:t>
      </w:r>
    </w:p>
    <w:p w:rsidR="00BB0AFB" w:rsidRDefault="00BB0AFB" w:rsidP="00F916CA">
      <w:pPr>
        <w:tabs>
          <w:tab w:val="left" w:pos="90"/>
        </w:tabs>
        <w:autoSpaceDE w:val="0"/>
        <w:autoSpaceDN w:val="0"/>
        <w:adjustRightInd w:val="0"/>
        <w:spacing w:after="0" w:line="276" w:lineRule="auto"/>
        <w:jc w:val="both"/>
        <w:rPr>
          <w:rFonts w:eastAsia="Times New Roman" w:cs="Times New Roman"/>
          <w:lang w:val="en-GB"/>
        </w:rPr>
      </w:pPr>
    </w:p>
    <w:p w:rsidR="00033EFA" w:rsidRPr="00832FE4" w:rsidRDefault="00033EFA" w:rsidP="00F916CA">
      <w:pPr>
        <w:tabs>
          <w:tab w:val="left" w:pos="90"/>
        </w:tabs>
        <w:autoSpaceDE w:val="0"/>
        <w:autoSpaceDN w:val="0"/>
        <w:adjustRightInd w:val="0"/>
        <w:spacing w:after="0" w:line="276" w:lineRule="auto"/>
        <w:jc w:val="both"/>
        <w:rPr>
          <w:rFonts w:eastAsia="Times New Roman" w:cs="Times New Roman"/>
          <w:lang w:val="en-GB"/>
        </w:rPr>
      </w:pPr>
      <w:r w:rsidRPr="00832FE4">
        <w:rPr>
          <w:rFonts w:eastAsia="Times New Roman" w:cs="Times New Roman"/>
          <w:lang w:val="en-GB"/>
        </w:rPr>
        <w:t xml:space="preserve">Civil society participation will be </w:t>
      </w:r>
      <w:r w:rsidR="00226C92">
        <w:rPr>
          <w:rFonts w:eastAsia="Times New Roman" w:cs="Times New Roman"/>
          <w:lang w:val="en-GB"/>
        </w:rPr>
        <w:t xml:space="preserve">addressed in the project </w:t>
      </w:r>
      <w:r w:rsidRPr="00832FE4">
        <w:rPr>
          <w:rFonts w:eastAsia="Times New Roman" w:cs="Times New Roman"/>
          <w:lang w:val="en-GB"/>
        </w:rPr>
        <w:t>through opening up dialogue forums with Government stakeholders and International partners, thus promoting an understanding of roles and responsibilities of all actors. This will offer the unique opportunity of addressing fundamental security sector challenges in the Pacific region. The UNDP as a convenor will facilitate such dialogues in member states.</w:t>
      </w:r>
    </w:p>
    <w:p w:rsidR="00B172DE" w:rsidRPr="00832FE4" w:rsidRDefault="00BB0AFB" w:rsidP="00F916CA">
      <w:pPr>
        <w:spacing w:before="100" w:beforeAutospacing="1" w:after="100" w:afterAutospacing="1" w:line="276" w:lineRule="auto"/>
        <w:jc w:val="both"/>
        <w:rPr>
          <w:rFonts w:eastAsia="Times New Roman" w:cs="Times New Roman"/>
        </w:rPr>
      </w:pPr>
      <w:r w:rsidRPr="00832FE4">
        <w:rPr>
          <w:rFonts w:eastAsia="Times New Roman" w:cs="Times New Roman"/>
        </w:rPr>
        <w:t xml:space="preserve">Strategically this project will focus on supporting civil society organizations </w:t>
      </w:r>
      <w:r w:rsidR="00226C92">
        <w:rPr>
          <w:rFonts w:eastAsia="Times New Roman" w:cs="Times New Roman"/>
        </w:rPr>
        <w:t xml:space="preserve">and NGOs </w:t>
      </w:r>
      <w:r w:rsidRPr="00832FE4">
        <w:rPr>
          <w:rFonts w:eastAsia="Times New Roman" w:cs="Times New Roman"/>
        </w:rPr>
        <w:t>to be part of national security policy formulation processes</w:t>
      </w:r>
      <w:r w:rsidR="00226C92">
        <w:rPr>
          <w:rFonts w:eastAsia="Times New Roman" w:cs="Times New Roman"/>
        </w:rPr>
        <w:t xml:space="preserve"> (this approach was used in PNG and Fiji)</w:t>
      </w:r>
      <w:r w:rsidRPr="00832FE4">
        <w:rPr>
          <w:rFonts w:eastAsia="Times New Roman" w:cs="Times New Roman"/>
        </w:rPr>
        <w:t xml:space="preserve">. Approaches will be linked to relationships already </w:t>
      </w:r>
      <w:r w:rsidR="008D4247">
        <w:rPr>
          <w:rFonts w:eastAsia="Times New Roman" w:cs="Times New Roman"/>
        </w:rPr>
        <w:t xml:space="preserve">built with civil society groups.  </w:t>
      </w:r>
      <w:r w:rsidRPr="00832FE4">
        <w:rPr>
          <w:rFonts w:eastAsia="Times New Roman" w:cs="Times New Roman"/>
        </w:rPr>
        <w:t>A bottom up approach as a core development principle will be adopted, with a view to closing the gap between the periphery and the centre</w:t>
      </w:r>
      <w:r w:rsidR="008D4247">
        <w:rPr>
          <w:rFonts w:eastAsia="Times New Roman" w:cs="Times New Roman"/>
        </w:rPr>
        <w:t xml:space="preserve">.   </w:t>
      </w:r>
      <w:r w:rsidR="00B172DE" w:rsidRPr="00832FE4">
        <w:rPr>
          <w:rFonts w:eastAsia="Times New Roman" w:cs="Times New Roman"/>
        </w:rPr>
        <w:t>To further buttress security sector governance, the media which plays a key role on accountability issues, will be positively engaged and capacity building needs identified and supported. This is geared towards assisting them to contribute more meaningfully to management and oversight of the security sector.</w:t>
      </w:r>
    </w:p>
    <w:p w:rsidR="00B172DE" w:rsidRDefault="00B172DE" w:rsidP="00F916CA">
      <w:pPr>
        <w:pStyle w:val="NoSpacing"/>
        <w:spacing w:line="276" w:lineRule="auto"/>
        <w:rPr>
          <w:b/>
          <w:i/>
        </w:rPr>
      </w:pPr>
      <w:r w:rsidRPr="00832FE4">
        <w:rPr>
          <w:b/>
          <w:i/>
        </w:rPr>
        <w:t xml:space="preserve">Knowledge Advisory Partners </w:t>
      </w:r>
    </w:p>
    <w:p w:rsidR="00B172DE" w:rsidRPr="00832FE4" w:rsidRDefault="00B172DE" w:rsidP="00F916CA">
      <w:pPr>
        <w:pStyle w:val="NoSpacing"/>
        <w:spacing w:line="276" w:lineRule="auto"/>
        <w:rPr>
          <w:b/>
          <w:i/>
        </w:rPr>
      </w:pPr>
    </w:p>
    <w:p w:rsidR="004E299A" w:rsidRDefault="00B172DE" w:rsidP="008D4247">
      <w:pPr>
        <w:pStyle w:val="NoSpacing"/>
        <w:spacing w:line="276" w:lineRule="auto"/>
        <w:jc w:val="both"/>
      </w:pPr>
      <w:r w:rsidRPr="00832FE4">
        <w:t xml:space="preserve">Security Sector Governance is a highly technical </w:t>
      </w:r>
      <w:r w:rsidR="005541CE">
        <w:t xml:space="preserve">and </w:t>
      </w:r>
      <w:r w:rsidRPr="00832FE4">
        <w:t xml:space="preserve">normative framework set in a </w:t>
      </w:r>
      <w:r w:rsidR="005541CE">
        <w:t xml:space="preserve">specific </w:t>
      </w:r>
      <w:r w:rsidRPr="00832FE4">
        <w:t>political space. It must therefore be based on sound knowledge and evidence based diagnosis of challenges and opportunities in target countries. The current project will seek to use existing knowledge based institutions and expertise both within and out</w:t>
      </w:r>
      <w:r w:rsidR="005541CE">
        <w:t>side</w:t>
      </w:r>
      <w:r w:rsidRPr="00832FE4">
        <w:t xml:space="preserve"> of the UN system, to provide empirical research into specific issues as required. </w:t>
      </w:r>
      <w:r w:rsidR="008D4247">
        <w:t>For instance a</w:t>
      </w:r>
      <w:r w:rsidRPr="00832FE4">
        <w:t xml:space="preserve"> key knowledge gap in the Pacific Region appears to be a gender</w:t>
      </w:r>
      <w:r w:rsidR="005541CE">
        <w:t>-sensitive</w:t>
      </w:r>
      <w:r w:rsidRPr="00832FE4">
        <w:t xml:space="preserve"> approach to security sector </w:t>
      </w:r>
      <w:r w:rsidR="005541CE">
        <w:t>governance.</w:t>
      </w:r>
      <w:r w:rsidRPr="00832FE4">
        <w:t xml:space="preserve"> Knowledge and advisory services may be required in this critical area. Much work has been done in implementing UNSC Resolution 1325. However, there is still need to raise awareness on women’s specific security needs and have them reflected in all security sector governance interventions. This project will complement work currently been done by other UN Agencies (UNWOMEN; UNFPA; UNICEF; UNAIDS) on women’s social protection and gender equality. Gender will be mainstreamed across all activities of the project. </w:t>
      </w:r>
      <w:r w:rsidR="00AF2389">
        <w:t xml:space="preserve">  </w:t>
      </w:r>
    </w:p>
    <w:p w:rsidR="004E299A" w:rsidRDefault="004E299A" w:rsidP="008D4247">
      <w:pPr>
        <w:pStyle w:val="NoSpacing"/>
        <w:spacing w:line="276" w:lineRule="auto"/>
        <w:jc w:val="both"/>
      </w:pPr>
    </w:p>
    <w:p w:rsidR="00BB0AFB" w:rsidRPr="004E299A" w:rsidRDefault="00B172DE" w:rsidP="004E299A">
      <w:pPr>
        <w:pStyle w:val="NoSpacing"/>
        <w:spacing w:line="276" w:lineRule="auto"/>
        <w:jc w:val="both"/>
      </w:pPr>
      <w:r w:rsidRPr="00832FE4">
        <w:t xml:space="preserve">Where required, partnerships will be forged with “”think - tank” institutions and academia, such as Geneva Centre for the Democratic Governance of the Armed Forces (DCAF), </w:t>
      </w:r>
      <w:r w:rsidR="005541CE">
        <w:t xml:space="preserve">the </w:t>
      </w:r>
      <w:r w:rsidRPr="00832FE4">
        <w:t>Asia Pacific Centre for S</w:t>
      </w:r>
      <w:r w:rsidR="005541CE">
        <w:t>trategic</w:t>
      </w:r>
      <w:r w:rsidRPr="00832FE4">
        <w:t xml:space="preserve"> Studies (APCSS) and the International Security Sector Advisory Team (ISSAT</w:t>
      </w:r>
      <w:r w:rsidR="008B07ED">
        <w:t xml:space="preserve">) that will come in at different stages to provide </w:t>
      </w:r>
      <w:r w:rsidR="005541CE">
        <w:t xml:space="preserve">specific </w:t>
      </w:r>
      <w:r w:rsidR="008B07ED">
        <w:t xml:space="preserve">expertise in </w:t>
      </w:r>
      <w:r w:rsidR="004E299A">
        <w:t>updating (such as the 2010 ‘Enhancing Security Sector Governance in the Pacific Region: A strategic framework’) or developing knowledge</w:t>
      </w:r>
      <w:r w:rsidR="00117C20">
        <w:t xml:space="preserve"> products, </w:t>
      </w:r>
      <w:r w:rsidR="008B07ED">
        <w:t xml:space="preserve">workshops or in policy work. </w:t>
      </w:r>
      <w:r w:rsidR="004E299A">
        <w:t xml:space="preserve"> Further </w:t>
      </w:r>
      <w:r w:rsidR="008B07ED">
        <w:t>the SSSR Unit in DPKO that has a lead on SSR in Peace Keeping and Mission context</w:t>
      </w:r>
      <w:r w:rsidR="005541CE">
        <w:t>s</w:t>
      </w:r>
      <w:r w:rsidR="008B07ED">
        <w:t xml:space="preserve"> will lend support and participate by providing expertise for training</w:t>
      </w:r>
      <w:r w:rsidR="004E299A">
        <w:t xml:space="preserve"> (for example linked to Fiji</w:t>
      </w:r>
      <w:r w:rsidR="00AF2389">
        <w:t xml:space="preserve"> peacekeeping support), </w:t>
      </w:r>
      <w:r w:rsidR="004E299A">
        <w:t>other relevant technical expertise such as support through a detailed assignment</w:t>
      </w:r>
      <w:r w:rsidR="00AF2389">
        <w:t xml:space="preserve"> and also sharing of common lessons learned from support to national SSR processes as identified for example through the IASSRTF.</w:t>
      </w:r>
    </w:p>
    <w:p w:rsidR="00247446" w:rsidRDefault="00247446" w:rsidP="00F916CA">
      <w:pPr>
        <w:tabs>
          <w:tab w:val="left" w:pos="90"/>
        </w:tabs>
        <w:autoSpaceDE w:val="0"/>
        <w:autoSpaceDN w:val="0"/>
        <w:adjustRightInd w:val="0"/>
        <w:spacing w:after="0" w:line="276" w:lineRule="auto"/>
        <w:jc w:val="both"/>
        <w:rPr>
          <w:rFonts w:cs="Times New Roman"/>
          <w:sz w:val="24"/>
          <w:szCs w:val="24"/>
        </w:rPr>
      </w:pPr>
    </w:p>
    <w:p w:rsidR="00247446" w:rsidRPr="00247446" w:rsidRDefault="00247446" w:rsidP="00F916CA">
      <w:pPr>
        <w:pStyle w:val="ListParagraph"/>
        <w:numPr>
          <w:ilvl w:val="0"/>
          <w:numId w:val="33"/>
        </w:numPr>
        <w:tabs>
          <w:tab w:val="left" w:pos="930"/>
        </w:tabs>
        <w:spacing w:after="60" w:line="276" w:lineRule="auto"/>
        <w:jc w:val="both"/>
        <w:rPr>
          <w:rFonts w:eastAsia="Times New Roman" w:cs="Times New Roman"/>
          <w:b/>
          <w:sz w:val="24"/>
          <w:szCs w:val="24"/>
          <w:lang w:val="en-GB"/>
        </w:rPr>
      </w:pPr>
      <w:r w:rsidRPr="00247446">
        <w:rPr>
          <w:rFonts w:cs="Times New Roman"/>
          <w:b/>
          <w:sz w:val="24"/>
          <w:szCs w:val="24"/>
        </w:rPr>
        <w:t xml:space="preserve">Outputs </w:t>
      </w:r>
    </w:p>
    <w:p w:rsidR="00247446" w:rsidRPr="00842B28" w:rsidRDefault="00247446" w:rsidP="00F916CA">
      <w:pPr>
        <w:tabs>
          <w:tab w:val="left" w:pos="90"/>
        </w:tabs>
        <w:autoSpaceDE w:val="0"/>
        <w:autoSpaceDN w:val="0"/>
        <w:adjustRightInd w:val="0"/>
        <w:spacing w:after="0" w:line="276" w:lineRule="auto"/>
        <w:jc w:val="both"/>
        <w:rPr>
          <w:rFonts w:cs="Times New Roman"/>
        </w:rPr>
      </w:pPr>
    </w:p>
    <w:p w:rsidR="00287321" w:rsidRPr="00842B28" w:rsidRDefault="004E299A" w:rsidP="00287321">
      <w:pPr>
        <w:tabs>
          <w:tab w:val="left" w:pos="90"/>
        </w:tabs>
        <w:autoSpaceDE w:val="0"/>
        <w:autoSpaceDN w:val="0"/>
        <w:adjustRightInd w:val="0"/>
        <w:spacing w:after="0" w:line="276" w:lineRule="auto"/>
        <w:jc w:val="both"/>
        <w:rPr>
          <w:rFonts w:cs="Times New Roman"/>
        </w:rPr>
      </w:pPr>
      <w:r w:rsidRPr="00BB12B0">
        <w:rPr>
          <w:rFonts w:cs="Times New Roman"/>
        </w:rPr>
        <w:t xml:space="preserve">The project </w:t>
      </w:r>
      <w:r>
        <w:rPr>
          <w:rFonts w:cs="Times New Roman"/>
        </w:rPr>
        <w:t>is linked the UNDP Pacific Centre Project Document 2014 – 2017 ‘Achieving the</w:t>
      </w:r>
      <w:r w:rsidRPr="00BB12B0">
        <w:rPr>
          <w:rFonts w:cs="Times New Roman"/>
        </w:rPr>
        <w:t xml:space="preserve"> </w:t>
      </w:r>
      <w:r>
        <w:rPr>
          <w:rFonts w:cs="Times New Roman"/>
        </w:rPr>
        <w:t xml:space="preserve">simultaneous eradication of poverty and a significant reduction of inequalities and exclusion in the Pacific (2014-2017)’ and also </w:t>
      </w:r>
      <w:r w:rsidRPr="00BB12B0">
        <w:rPr>
          <w:rFonts w:cs="Times New Roman"/>
        </w:rPr>
        <w:t xml:space="preserve">Outcome 5.1 of the Pacific UNDAF 2013-2017 on governance. </w:t>
      </w:r>
      <w:r w:rsidR="00287321" w:rsidRPr="00842B28">
        <w:rPr>
          <w:rFonts w:cs="Times New Roman"/>
        </w:rPr>
        <w:t xml:space="preserve">There are three main outputs under </w:t>
      </w:r>
      <w:r w:rsidR="00287321">
        <w:rPr>
          <w:rFonts w:cs="Times New Roman"/>
        </w:rPr>
        <w:t xml:space="preserve">this project which are described </w:t>
      </w:r>
      <w:r w:rsidR="00287321" w:rsidRPr="00842B28">
        <w:rPr>
          <w:rFonts w:cs="Times New Roman"/>
        </w:rPr>
        <w:t xml:space="preserve">in </w:t>
      </w:r>
      <w:r w:rsidR="00287321">
        <w:rPr>
          <w:rFonts w:cs="Times New Roman"/>
        </w:rPr>
        <w:t xml:space="preserve">more detail in </w:t>
      </w:r>
      <w:r w:rsidR="00287321" w:rsidRPr="00842B28">
        <w:rPr>
          <w:rFonts w:cs="Times New Roman"/>
        </w:rPr>
        <w:t>Annex I: Resul</w:t>
      </w:r>
      <w:r w:rsidR="00287321">
        <w:rPr>
          <w:rFonts w:cs="Times New Roman"/>
        </w:rPr>
        <w:t>ts and Resource Framework. The f</w:t>
      </w:r>
      <w:r w:rsidR="00287321" w:rsidRPr="00842B28">
        <w:rPr>
          <w:rFonts w:cs="Times New Roman"/>
        </w:rPr>
        <w:t xml:space="preserve">irst output focuses on the </w:t>
      </w:r>
      <w:r w:rsidR="00287321">
        <w:rPr>
          <w:rFonts w:cs="Times New Roman"/>
        </w:rPr>
        <w:t xml:space="preserve">Pacific </w:t>
      </w:r>
      <w:r w:rsidR="00287321" w:rsidRPr="00842B28">
        <w:rPr>
          <w:rFonts w:cs="Times New Roman"/>
        </w:rPr>
        <w:t>region as a whole while</w:t>
      </w:r>
      <w:r w:rsidR="00287321">
        <w:rPr>
          <w:rFonts w:cs="Times New Roman"/>
        </w:rPr>
        <w:t xml:space="preserve"> the second and third outputs are </w:t>
      </w:r>
      <w:r w:rsidR="00287321" w:rsidRPr="00842B28">
        <w:rPr>
          <w:rFonts w:cs="Times New Roman"/>
        </w:rPr>
        <w:t>specific to Fiji and Pap</w:t>
      </w:r>
      <w:r w:rsidR="00287321">
        <w:rPr>
          <w:rFonts w:cs="Times New Roman"/>
        </w:rPr>
        <w:t>u</w:t>
      </w:r>
      <w:r w:rsidR="00287321" w:rsidRPr="00842B28">
        <w:rPr>
          <w:rFonts w:cs="Times New Roman"/>
        </w:rPr>
        <w:t xml:space="preserve">a New Guinea. The </w:t>
      </w:r>
      <w:r w:rsidR="00287321">
        <w:rPr>
          <w:rFonts w:cs="Times New Roman"/>
        </w:rPr>
        <w:t xml:space="preserve">first output provides a platform for convening region wide conversations (and experience sharing) on democratic security sector governance; and for the provision of technical assistance, on request, to other Pacific countries (apart from Fiji and Papua New Guinea) who are interested in undertaking work/reform on security sector governance, including the development of national security policies/strategies. The second output focuses on providing technical support, on request, to Fiji’s process of security sector reform, including the formulation and implementation of a new national security strategy. The third output focuses on providing technical support, on request, to Papua New Guinea to support the implementation of its new national security policy. Both Fiji and Papua New Guinea have requested technical support from UNDP. </w:t>
      </w:r>
    </w:p>
    <w:p w:rsidR="00287321" w:rsidRPr="00842B28" w:rsidRDefault="00287321" w:rsidP="00F916CA">
      <w:pPr>
        <w:tabs>
          <w:tab w:val="left" w:pos="90"/>
        </w:tabs>
        <w:autoSpaceDE w:val="0"/>
        <w:autoSpaceDN w:val="0"/>
        <w:adjustRightInd w:val="0"/>
        <w:spacing w:after="0" w:line="276" w:lineRule="auto"/>
        <w:jc w:val="both"/>
        <w:rPr>
          <w:rFonts w:cs="Times New Roman"/>
        </w:rPr>
      </w:pPr>
    </w:p>
    <w:p w:rsidR="00662777" w:rsidRPr="00842B28" w:rsidRDefault="00662777" w:rsidP="00F916CA">
      <w:pPr>
        <w:tabs>
          <w:tab w:val="left" w:pos="90"/>
        </w:tabs>
        <w:autoSpaceDE w:val="0"/>
        <w:autoSpaceDN w:val="0"/>
        <w:adjustRightInd w:val="0"/>
        <w:spacing w:after="0" w:line="276" w:lineRule="auto"/>
        <w:jc w:val="both"/>
        <w:rPr>
          <w:rFonts w:cs="Times New Roman"/>
        </w:rPr>
      </w:pPr>
      <w:r w:rsidRPr="00842B28">
        <w:rPr>
          <w:rFonts w:cs="Times New Roman"/>
        </w:rPr>
        <w:t xml:space="preserve">The </w:t>
      </w:r>
      <w:r w:rsidR="008D360D">
        <w:rPr>
          <w:rFonts w:cs="Times New Roman"/>
        </w:rPr>
        <w:t>three</w:t>
      </w:r>
      <w:r w:rsidR="00AF2389">
        <w:rPr>
          <w:rFonts w:cs="Times New Roman"/>
        </w:rPr>
        <w:t xml:space="preserve"> </w:t>
      </w:r>
      <w:r w:rsidRPr="00842B28">
        <w:rPr>
          <w:rFonts w:cs="Times New Roman"/>
        </w:rPr>
        <w:t xml:space="preserve">outputs are as follows: </w:t>
      </w:r>
    </w:p>
    <w:p w:rsidR="00662777" w:rsidRPr="00842B28" w:rsidRDefault="00662777" w:rsidP="00F916CA">
      <w:pPr>
        <w:tabs>
          <w:tab w:val="left" w:pos="90"/>
        </w:tabs>
        <w:autoSpaceDE w:val="0"/>
        <w:autoSpaceDN w:val="0"/>
        <w:adjustRightInd w:val="0"/>
        <w:spacing w:after="0" w:line="276" w:lineRule="auto"/>
        <w:jc w:val="both"/>
        <w:rPr>
          <w:rFonts w:cs="Times New Roman"/>
        </w:rPr>
      </w:pPr>
    </w:p>
    <w:p w:rsidR="00247446" w:rsidRPr="00842B28" w:rsidRDefault="00247446" w:rsidP="00F916CA">
      <w:pPr>
        <w:tabs>
          <w:tab w:val="left" w:pos="90"/>
        </w:tabs>
        <w:autoSpaceDE w:val="0"/>
        <w:autoSpaceDN w:val="0"/>
        <w:adjustRightInd w:val="0"/>
        <w:spacing w:after="0" w:line="276" w:lineRule="auto"/>
        <w:jc w:val="both"/>
        <w:rPr>
          <w:rFonts w:cs="Times New Roman"/>
        </w:rPr>
      </w:pPr>
      <w:r w:rsidRPr="00C41216">
        <w:rPr>
          <w:rFonts w:cs="Times New Roman"/>
          <w:b/>
        </w:rPr>
        <w:t>Output 1:</w:t>
      </w:r>
      <w:r w:rsidRPr="004E000A">
        <w:rPr>
          <w:rFonts w:cs="Times New Roman"/>
          <w:b/>
        </w:rPr>
        <w:t xml:space="preserve"> </w:t>
      </w:r>
      <w:r w:rsidR="00287321" w:rsidRPr="004E000A">
        <w:rPr>
          <w:rFonts w:cs="Times New Roman"/>
          <w:b/>
        </w:rPr>
        <w:t xml:space="preserve">Security Sector Governance enhanced in the Pacific through support to regional dialogues and knowledge sharing fostering South-South and Triangular Cooperation and support to select </w:t>
      </w:r>
      <w:r w:rsidR="00287321" w:rsidRPr="004E000A">
        <w:rPr>
          <w:b/>
        </w:rPr>
        <w:t>Pacific Island Countries to develop new national security strategies and associated security sector governance mechanisms.</w:t>
      </w:r>
      <w:r w:rsidR="00287321" w:rsidRPr="00CA4D69">
        <w:rPr>
          <w:sz w:val="20"/>
          <w:szCs w:val="20"/>
        </w:rPr>
        <w:t xml:space="preserve"> </w:t>
      </w:r>
    </w:p>
    <w:p w:rsidR="00247446" w:rsidRPr="00842B28" w:rsidRDefault="00247446" w:rsidP="00F916CA">
      <w:pPr>
        <w:tabs>
          <w:tab w:val="left" w:pos="90"/>
        </w:tabs>
        <w:autoSpaceDE w:val="0"/>
        <w:autoSpaceDN w:val="0"/>
        <w:adjustRightInd w:val="0"/>
        <w:spacing w:after="0" w:line="276" w:lineRule="auto"/>
        <w:jc w:val="both"/>
        <w:rPr>
          <w:rFonts w:cs="Times New Roman"/>
        </w:rPr>
      </w:pPr>
    </w:p>
    <w:p w:rsidR="00287321" w:rsidRDefault="00287321" w:rsidP="00287321">
      <w:pPr>
        <w:tabs>
          <w:tab w:val="left" w:pos="90"/>
        </w:tabs>
        <w:autoSpaceDE w:val="0"/>
        <w:autoSpaceDN w:val="0"/>
        <w:adjustRightInd w:val="0"/>
        <w:spacing w:after="0" w:line="276" w:lineRule="auto"/>
        <w:contextualSpacing/>
        <w:jc w:val="both"/>
        <w:rPr>
          <w:rFonts w:cs="Times New Roman"/>
        </w:rPr>
      </w:pPr>
      <w:r>
        <w:rPr>
          <w:rFonts w:cs="Times New Roman"/>
        </w:rPr>
        <w:t>This output</w:t>
      </w:r>
      <w:r w:rsidRPr="00842B28">
        <w:rPr>
          <w:rFonts w:cs="Times New Roman"/>
        </w:rPr>
        <w:t xml:space="preserve"> focuses o</w:t>
      </w:r>
      <w:r>
        <w:rPr>
          <w:rFonts w:cs="Times New Roman"/>
        </w:rPr>
        <w:t>n promoting more transparent, democratic, inclusive and responsive security sector governance in the Pacific, and in select PICs. It provides a platform for convening region-wid</w:t>
      </w:r>
      <w:r w:rsidR="00C41216">
        <w:rPr>
          <w:rFonts w:cs="Times New Roman"/>
        </w:rPr>
        <w:t xml:space="preserve">e, and national, conversations </w:t>
      </w:r>
      <w:r>
        <w:rPr>
          <w:rFonts w:cs="Times New Roman"/>
        </w:rPr>
        <w:t>and experience shar</w:t>
      </w:r>
      <w:r w:rsidR="00C41216">
        <w:rPr>
          <w:rFonts w:cs="Times New Roman"/>
        </w:rPr>
        <w:t>ing and south-south cooperation</w:t>
      </w:r>
      <w:r>
        <w:rPr>
          <w:rFonts w:cs="Times New Roman"/>
        </w:rPr>
        <w:t xml:space="preserve"> on security sector governance issues, including the development of national security strategies and policies that are based on the Pacific regional human security framework, and aligned with the guiding principles on security sector governance approved by Pacific leaders in August 2014.  It also provides a platform for UNDP and PIFS to provide targeted technical assistance, on request, to select PICs on a range of security sector governance issues, including the development of national security policies, and gender issues to enhance the role of women in security sector governance and decision making. It will be important to ensure that the technical assistance is also aligned with UN best practice.</w:t>
      </w:r>
      <w:r w:rsidR="00407D4E">
        <w:rPr>
          <w:rFonts w:cs="Times New Roman"/>
        </w:rPr>
        <w:t xml:space="preserve">  This output will also produce the following knowledge products: Adapt the UN SSR guidance notes for the Pacific context, update the 2010 previous knowledge product of ‘Enhancing Security Sector Governance in the Pacific Region: A strategic framework’</w:t>
      </w:r>
      <w:r w:rsidR="00744C98">
        <w:rPr>
          <w:rFonts w:cs="Times New Roman"/>
        </w:rPr>
        <w:t xml:space="preserve"> to reflect developments in the </w:t>
      </w:r>
      <w:r w:rsidR="005541CE">
        <w:rPr>
          <w:rFonts w:cs="Times New Roman"/>
        </w:rPr>
        <w:t>p</w:t>
      </w:r>
      <w:r w:rsidR="00744C98">
        <w:rPr>
          <w:rFonts w:cs="Times New Roman"/>
        </w:rPr>
        <w:t xml:space="preserve">ast five years and the post-2015 </w:t>
      </w:r>
      <w:r w:rsidR="005541CE">
        <w:rPr>
          <w:rFonts w:cs="Times New Roman"/>
        </w:rPr>
        <w:t xml:space="preserve">development </w:t>
      </w:r>
      <w:r w:rsidR="00744C98">
        <w:rPr>
          <w:rFonts w:cs="Times New Roman"/>
        </w:rPr>
        <w:t>agenda</w:t>
      </w:r>
      <w:r w:rsidR="00407D4E">
        <w:rPr>
          <w:rFonts w:cs="Times New Roman"/>
        </w:rPr>
        <w:t>, and provide detail</w:t>
      </w:r>
      <w:r w:rsidR="005541CE">
        <w:rPr>
          <w:rFonts w:cs="Times New Roman"/>
        </w:rPr>
        <w:t>s</w:t>
      </w:r>
      <w:r w:rsidR="00407D4E">
        <w:rPr>
          <w:rFonts w:cs="Times New Roman"/>
        </w:rPr>
        <w:t xml:space="preserve"> on </w:t>
      </w:r>
      <w:r w:rsidR="00407D4E" w:rsidRPr="00BB12B0">
        <w:rPr>
          <w:rFonts w:cs="Times New Roman"/>
        </w:rPr>
        <w:t>best practices for gender</w:t>
      </w:r>
      <w:r w:rsidR="005541CE">
        <w:rPr>
          <w:rFonts w:cs="Times New Roman"/>
        </w:rPr>
        <w:t xml:space="preserve">-sensitive </w:t>
      </w:r>
      <w:r w:rsidR="00407D4E" w:rsidRPr="00BB12B0">
        <w:rPr>
          <w:rFonts w:cs="Times New Roman"/>
        </w:rPr>
        <w:t>security sector governance in the Pacific Region.</w:t>
      </w:r>
    </w:p>
    <w:p w:rsidR="00287321" w:rsidRDefault="00287321" w:rsidP="00287321">
      <w:pPr>
        <w:tabs>
          <w:tab w:val="left" w:pos="90"/>
        </w:tabs>
        <w:autoSpaceDE w:val="0"/>
        <w:autoSpaceDN w:val="0"/>
        <w:adjustRightInd w:val="0"/>
        <w:spacing w:after="0" w:line="276" w:lineRule="auto"/>
        <w:jc w:val="both"/>
        <w:rPr>
          <w:rFonts w:cs="Times New Roman"/>
        </w:rPr>
      </w:pPr>
    </w:p>
    <w:p w:rsidR="00287321" w:rsidRDefault="00287321" w:rsidP="00F916CA">
      <w:pPr>
        <w:tabs>
          <w:tab w:val="left" w:pos="90"/>
        </w:tabs>
        <w:autoSpaceDE w:val="0"/>
        <w:autoSpaceDN w:val="0"/>
        <w:adjustRightInd w:val="0"/>
        <w:spacing w:after="0" w:line="276" w:lineRule="auto"/>
        <w:jc w:val="both"/>
        <w:rPr>
          <w:rFonts w:cs="Times New Roman"/>
        </w:rPr>
      </w:pPr>
      <w:r>
        <w:rPr>
          <w:rFonts w:cs="Times New Roman"/>
        </w:rPr>
        <w:t xml:space="preserve">This output will be implemented by UNDP (Pacific Centre and </w:t>
      </w:r>
      <w:r w:rsidR="005541CE">
        <w:rPr>
          <w:rFonts w:cs="Times New Roman"/>
        </w:rPr>
        <w:t xml:space="preserve">Pacific </w:t>
      </w:r>
      <w:r>
        <w:rPr>
          <w:rFonts w:cs="Times New Roman"/>
        </w:rPr>
        <w:t>COs) and the Pacific Islands Forum Secretariat in partnership with a range of other relevant UN agencies</w:t>
      </w:r>
      <w:r w:rsidR="00996E80">
        <w:rPr>
          <w:rFonts w:cs="Times New Roman"/>
        </w:rPr>
        <w:t xml:space="preserve"> (e.g. UNODC, UN Women, OHCHR, DPKO)</w:t>
      </w:r>
      <w:r>
        <w:rPr>
          <w:rFonts w:cs="Times New Roman"/>
        </w:rPr>
        <w:t>, regional organizations and NGOs. A key focus of this output will be on experience-sharing, south-south and triangular cooper</w:t>
      </w:r>
      <w:r w:rsidR="00407D4E">
        <w:rPr>
          <w:rFonts w:cs="Times New Roman"/>
        </w:rPr>
        <w:t>ation and knowledge management.</w:t>
      </w:r>
    </w:p>
    <w:p w:rsidR="0053672B" w:rsidRPr="00842B28" w:rsidRDefault="0053672B" w:rsidP="00F916CA">
      <w:pPr>
        <w:tabs>
          <w:tab w:val="left" w:pos="90"/>
        </w:tabs>
        <w:autoSpaceDE w:val="0"/>
        <w:autoSpaceDN w:val="0"/>
        <w:adjustRightInd w:val="0"/>
        <w:spacing w:after="0" w:line="276" w:lineRule="auto"/>
        <w:jc w:val="both"/>
        <w:rPr>
          <w:rFonts w:cs="Times New Roman"/>
        </w:rPr>
      </w:pPr>
    </w:p>
    <w:p w:rsidR="00662777" w:rsidRPr="00842B28" w:rsidRDefault="00662777" w:rsidP="00F916CA">
      <w:pPr>
        <w:tabs>
          <w:tab w:val="left" w:pos="90"/>
        </w:tabs>
        <w:autoSpaceDE w:val="0"/>
        <w:autoSpaceDN w:val="0"/>
        <w:adjustRightInd w:val="0"/>
        <w:spacing w:after="0" w:line="276" w:lineRule="auto"/>
        <w:jc w:val="both"/>
        <w:rPr>
          <w:rFonts w:cs="Times New Roman"/>
        </w:rPr>
      </w:pPr>
    </w:p>
    <w:p w:rsidR="00FD321E" w:rsidRPr="00842B28" w:rsidRDefault="007B79A3" w:rsidP="00F916CA">
      <w:pPr>
        <w:tabs>
          <w:tab w:val="left" w:pos="90"/>
        </w:tabs>
        <w:autoSpaceDE w:val="0"/>
        <w:autoSpaceDN w:val="0"/>
        <w:adjustRightInd w:val="0"/>
        <w:spacing w:after="0" w:line="276" w:lineRule="auto"/>
        <w:jc w:val="both"/>
        <w:rPr>
          <w:rFonts w:cs="Times New Roman"/>
        </w:rPr>
      </w:pPr>
      <w:r w:rsidRPr="00925776">
        <w:rPr>
          <w:rFonts w:cs="Times New Roman"/>
          <w:b/>
        </w:rPr>
        <w:t xml:space="preserve">Output 2: </w:t>
      </w:r>
      <w:r w:rsidR="008D360D" w:rsidRPr="00925776">
        <w:rPr>
          <w:rFonts w:cs="Tahoma"/>
          <w:b/>
          <w:lang w:val="en-GB"/>
        </w:rPr>
        <w:t>Security</w:t>
      </w:r>
      <w:r w:rsidR="008D360D" w:rsidRPr="004E000A">
        <w:rPr>
          <w:rFonts w:cs="Tahoma"/>
          <w:b/>
          <w:lang w:val="en-GB"/>
        </w:rPr>
        <w:t xml:space="preserve"> Sector Governance enhanced in Fiji through support to the development of a new national security strategy and related White Papers, capacity building for civilian oversight mechanisms and human rights</w:t>
      </w:r>
      <w:r w:rsidR="009D79E2">
        <w:rPr>
          <w:rFonts w:cs="Tahoma"/>
          <w:b/>
          <w:lang w:val="en-GB"/>
        </w:rPr>
        <w:t xml:space="preserve"> </w:t>
      </w:r>
      <w:r w:rsidR="009D79E2" w:rsidRPr="009D79E2">
        <w:rPr>
          <w:rFonts w:cs="Tahoma"/>
          <w:b/>
          <w:lang w:val="en-GB"/>
        </w:rPr>
        <w:t>and prevention of sexual and gender based violence</w:t>
      </w:r>
      <w:r w:rsidR="008D360D" w:rsidRPr="009D79E2">
        <w:rPr>
          <w:rFonts w:cs="Tahoma"/>
          <w:b/>
          <w:lang w:val="en-GB"/>
        </w:rPr>
        <w:t xml:space="preserve"> training</w:t>
      </w:r>
      <w:r w:rsidR="008D360D" w:rsidRPr="004E000A">
        <w:rPr>
          <w:rFonts w:cs="Tahoma"/>
          <w:b/>
          <w:lang w:val="en-GB"/>
        </w:rPr>
        <w:t xml:space="preserve"> for military</w:t>
      </w:r>
      <w:r w:rsidR="00FA560E" w:rsidRPr="00FA560E">
        <w:rPr>
          <w:rFonts w:cs="Tahoma"/>
          <w:b/>
          <w:lang w:val="en-GB"/>
        </w:rPr>
        <w:t xml:space="preserve"> forces, </w:t>
      </w:r>
      <w:r w:rsidR="008D360D" w:rsidRPr="004E000A">
        <w:rPr>
          <w:rFonts w:cs="Tahoma"/>
          <w:b/>
          <w:lang w:val="en-GB"/>
        </w:rPr>
        <w:t>police</w:t>
      </w:r>
      <w:r w:rsidR="00FA560E">
        <w:rPr>
          <w:rFonts w:cs="Tahoma"/>
          <w:b/>
          <w:lang w:val="en-GB"/>
        </w:rPr>
        <w:t xml:space="preserve"> and corrections service</w:t>
      </w:r>
      <w:r w:rsidR="008D360D" w:rsidRPr="004E000A">
        <w:rPr>
          <w:rFonts w:cs="Tahoma"/>
          <w:b/>
          <w:lang w:val="en-GB"/>
        </w:rPr>
        <w:t>.</w:t>
      </w:r>
      <w:r w:rsidR="008D360D" w:rsidRPr="00CA4D69">
        <w:rPr>
          <w:rFonts w:cs="Tahoma"/>
          <w:sz w:val="20"/>
          <w:szCs w:val="20"/>
          <w:lang w:val="en-GB"/>
        </w:rPr>
        <w:t xml:space="preserve"> </w:t>
      </w:r>
    </w:p>
    <w:p w:rsidR="007B79A3" w:rsidRPr="00842B28" w:rsidRDefault="007B79A3" w:rsidP="00F916CA">
      <w:pPr>
        <w:tabs>
          <w:tab w:val="left" w:pos="90"/>
        </w:tabs>
        <w:autoSpaceDE w:val="0"/>
        <w:autoSpaceDN w:val="0"/>
        <w:adjustRightInd w:val="0"/>
        <w:spacing w:after="0" w:line="276" w:lineRule="auto"/>
        <w:jc w:val="both"/>
        <w:rPr>
          <w:rFonts w:cs="Times New Roman"/>
        </w:rPr>
      </w:pPr>
    </w:p>
    <w:p w:rsidR="008D360D" w:rsidRDefault="008D360D" w:rsidP="008D360D">
      <w:pPr>
        <w:tabs>
          <w:tab w:val="left" w:pos="90"/>
        </w:tabs>
        <w:autoSpaceDE w:val="0"/>
        <w:autoSpaceDN w:val="0"/>
        <w:adjustRightInd w:val="0"/>
        <w:spacing w:after="0" w:line="276" w:lineRule="auto"/>
        <w:jc w:val="both"/>
        <w:rPr>
          <w:rFonts w:cs="Times New Roman"/>
        </w:rPr>
      </w:pPr>
      <w:r w:rsidRPr="00842B28">
        <w:rPr>
          <w:rFonts w:cs="Times New Roman"/>
        </w:rPr>
        <w:t>Fiji</w:t>
      </w:r>
      <w:r>
        <w:rPr>
          <w:rFonts w:cs="Times New Roman"/>
        </w:rPr>
        <w:t xml:space="preserve"> held its first democratic elections in nearly 8 years in Sep</w:t>
      </w:r>
      <w:r w:rsidR="00925776">
        <w:rPr>
          <w:rFonts w:cs="Times New Roman"/>
        </w:rPr>
        <w:t>tember 2014 wi</w:t>
      </w:r>
      <w:r w:rsidR="00407D4E">
        <w:rPr>
          <w:rFonts w:cs="Times New Roman"/>
        </w:rPr>
        <w:t xml:space="preserve">th the new Fiji Government now </w:t>
      </w:r>
      <w:r w:rsidR="00925776">
        <w:rPr>
          <w:rFonts w:cs="Times New Roman"/>
        </w:rPr>
        <w:t>embarking</w:t>
      </w:r>
      <w:r>
        <w:rPr>
          <w:rFonts w:cs="Times New Roman"/>
        </w:rPr>
        <w:t xml:space="preserve"> on a process of security sector reform, which includes the development of a new national security strategy, and related White Papers on various security topics such as Defence, Police, Intelligence and Immigration.  This output will focus on three key activities.  First, the provision of technical assistance, on request, to the Fiji Government on security sector governance issues, including the finalization and implementation of the new national security strategy and related White Papers,  Second,  working with Parliament including the Public Accounts Committee, Foreign Affairs and Defence Committee and other civilian institutions (Ministry of Finance, Ministry of Defence, and Auditor-General’s Office) to strengthen democratic civilian control of the armed forces.  Third, human rights</w:t>
      </w:r>
      <w:r w:rsidR="009D79E2">
        <w:rPr>
          <w:rFonts w:cs="Times New Roman"/>
        </w:rPr>
        <w:t xml:space="preserve"> </w:t>
      </w:r>
      <w:r w:rsidR="009D79E2" w:rsidRPr="009D79E2">
        <w:rPr>
          <w:rFonts w:cs="Tahoma"/>
          <w:lang w:val="en-GB"/>
        </w:rPr>
        <w:t>and prevention of sexual and gender based violence</w:t>
      </w:r>
      <w:r>
        <w:rPr>
          <w:rFonts w:cs="Times New Roman"/>
        </w:rPr>
        <w:t xml:space="preserve"> training f</w:t>
      </w:r>
      <w:r w:rsidR="00FA560E">
        <w:rPr>
          <w:rFonts w:cs="Times New Roman"/>
        </w:rPr>
        <w:t xml:space="preserve">or the Fiji military forces, </w:t>
      </w:r>
      <w:r>
        <w:rPr>
          <w:rFonts w:cs="Times New Roman"/>
        </w:rPr>
        <w:t xml:space="preserve">police </w:t>
      </w:r>
      <w:r w:rsidR="00FA560E">
        <w:rPr>
          <w:rFonts w:cs="Times New Roman"/>
        </w:rPr>
        <w:t xml:space="preserve">and corrections service </w:t>
      </w:r>
      <w:r>
        <w:rPr>
          <w:rFonts w:cs="Times New Roman"/>
        </w:rPr>
        <w:t>in partnership with OHCHR and</w:t>
      </w:r>
      <w:r w:rsidR="009D79E2">
        <w:rPr>
          <w:rFonts w:cs="Times New Roman"/>
        </w:rPr>
        <w:t xml:space="preserve"> NGOs</w:t>
      </w:r>
      <w:r>
        <w:rPr>
          <w:rFonts w:cs="Times New Roman"/>
        </w:rPr>
        <w:t xml:space="preserve">.  </w:t>
      </w:r>
    </w:p>
    <w:p w:rsidR="008D360D" w:rsidRDefault="008D360D" w:rsidP="008D360D">
      <w:pPr>
        <w:tabs>
          <w:tab w:val="left" w:pos="90"/>
        </w:tabs>
        <w:autoSpaceDE w:val="0"/>
        <w:autoSpaceDN w:val="0"/>
        <w:adjustRightInd w:val="0"/>
        <w:spacing w:after="0" w:line="276" w:lineRule="auto"/>
        <w:jc w:val="both"/>
        <w:rPr>
          <w:rFonts w:cs="Times New Roman"/>
        </w:rPr>
      </w:pPr>
    </w:p>
    <w:p w:rsidR="008D360D" w:rsidRDefault="008D360D" w:rsidP="008D360D">
      <w:pPr>
        <w:tabs>
          <w:tab w:val="left" w:pos="90"/>
        </w:tabs>
        <w:autoSpaceDE w:val="0"/>
        <w:autoSpaceDN w:val="0"/>
        <w:adjustRightInd w:val="0"/>
        <w:spacing w:after="0" w:line="276" w:lineRule="auto"/>
        <w:jc w:val="both"/>
        <w:rPr>
          <w:rFonts w:cs="Times New Roman"/>
        </w:rPr>
      </w:pPr>
      <w:r>
        <w:rPr>
          <w:rFonts w:cs="Times New Roman"/>
        </w:rPr>
        <w:t>This output will be implemented by UNDP (PC and Fiji MCO), in cooperation and collaboration with other relevant UN agencies</w:t>
      </w:r>
      <w:r w:rsidR="009D79E2">
        <w:rPr>
          <w:rFonts w:cs="Times New Roman"/>
        </w:rPr>
        <w:t xml:space="preserve"> and NGOs</w:t>
      </w:r>
      <w:r w:rsidR="00996E80">
        <w:rPr>
          <w:rFonts w:cs="Times New Roman"/>
        </w:rPr>
        <w:t xml:space="preserve"> (e.g. UN Women, UNODC, DPKO and OHCHR)</w:t>
      </w:r>
      <w:r>
        <w:rPr>
          <w:rFonts w:cs="Times New Roman"/>
        </w:rPr>
        <w:t>, regional organizations and development partners (e.g. APCSS, New Zealand, USA). It will also link with other relevant UNDP governance projects in Fiji. This includes the Fiji Parliamentary Support Project, which has a specific focus on capacity building work with various committees such as Public Accounts, Foreign Affairs and Defence); and the SCEFI project, which has a specific focus on facilitating the engagement of Fijian NGOs/CBOs with government and parliament on a range of governance issues, including security sector governance.</w:t>
      </w:r>
    </w:p>
    <w:p w:rsidR="008D360D" w:rsidRDefault="008D360D" w:rsidP="008D360D">
      <w:pPr>
        <w:tabs>
          <w:tab w:val="left" w:pos="90"/>
        </w:tabs>
        <w:autoSpaceDE w:val="0"/>
        <w:autoSpaceDN w:val="0"/>
        <w:adjustRightInd w:val="0"/>
        <w:spacing w:after="0" w:line="276" w:lineRule="auto"/>
        <w:jc w:val="both"/>
        <w:rPr>
          <w:rFonts w:cs="Times New Roman"/>
        </w:rPr>
      </w:pPr>
    </w:p>
    <w:p w:rsidR="008D360D" w:rsidRDefault="008D360D" w:rsidP="008D360D">
      <w:pPr>
        <w:tabs>
          <w:tab w:val="left" w:pos="90"/>
        </w:tabs>
        <w:autoSpaceDE w:val="0"/>
        <w:autoSpaceDN w:val="0"/>
        <w:adjustRightInd w:val="0"/>
        <w:spacing w:after="0" w:line="276" w:lineRule="auto"/>
        <w:jc w:val="both"/>
        <w:rPr>
          <w:rFonts w:cs="Times New Roman"/>
        </w:rPr>
      </w:pPr>
      <w:r w:rsidRPr="00842B28">
        <w:t xml:space="preserve">Fiji is an important contributor to </w:t>
      </w:r>
      <w:r>
        <w:t xml:space="preserve">UN </w:t>
      </w:r>
      <w:r w:rsidRPr="00842B28">
        <w:t>Pea</w:t>
      </w:r>
      <w:r>
        <w:t>cek</w:t>
      </w:r>
      <w:r w:rsidRPr="00842B28">
        <w:t>eeping</w:t>
      </w:r>
      <w:r>
        <w:t xml:space="preserve"> missions both military and police.  This output will therefore also include the provision of training and capacity building for Fijian military and police personal prior to deployment</w:t>
      </w:r>
      <w:r w:rsidRPr="00842B28">
        <w:t xml:space="preserve"> in </w:t>
      </w:r>
      <w:r>
        <w:t>UN Peace</w:t>
      </w:r>
      <w:r w:rsidRPr="00842B28">
        <w:t>keeping</w:t>
      </w:r>
      <w:r>
        <w:t xml:space="preserve"> missions. This training and/or capacity building </w:t>
      </w:r>
      <w:r w:rsidRPr="00842B28">
        <w:t xml:space="preserve">will be provided </w:t>
      </w:r>
      <w:r>
        <w:t>by UNDP in partnership with DPKO</w:t>
      </w:r>
      <w:r w:rsidR="00925776">
        <w:t xml:space="preserve"> and other groups which could include </w:t>
      </w:r>
      <w:r>
        <w:t xml:space="preserve">UNOHCHR, UN Women and SPC/RRRT. </w:t>
      </w:r>
      <w:r w:rsidRPr="00842B28">
        <w:t xml:space="preserve"> </w:t>
      </w:r>
    </w:p>
    <w:p w:rsidR="0053672B" w:rsidRPr="00842B28" w:rsidRDefault="0053672B" w:rsidP="00F916CA">
      <w:pPr>
        <w:tabs>
          <w:tab w:val="left" w:pos="90"/>
        </w:tabs>
        <w:autoSpaceDE w:val="0"/>
        <w:autoSpaceDN w:val="0"/>
        <w:adjustRightInd w:val="0"/>
        <w:spacing w:after="0" w:line="276" w:lineRule="auto"/>
        <w:jc w:val="both"/>
        <w:rPr>
          <w:rFonts w:cs="Times New Roman"/>
        </w:rPr>
      </w:pPr>
    </w:p>
    <w:p w:rsidR="007B79A3" w:rsidRPr="00842B28" w:rsidRDefault="007B79A3" w:rsidP="00F916CA">
      <w:pPr>
        <w:tabs>
          <w:tab w:val="left" w:pos="90"/>
        </w:tabs>
        <w:autoSpaceDE w:val="0"/>
        <w:autoSpaceDN w:val="0"/>
        <w:adjustRightInd w:val="0"/>
        <w:spacing w:after="0" w:line="276" w:lineRule="auto"/>
        <w:jc w:val="both"/>
        <w:rPr>
          <w:rFonts w:cs="Times New Roman"/>
        </w:rPr>
      </w:pPr>
    </w:p>
    <w:p w:rsidR="00247446" w:rsidRPr="00842B28" w:rsidRDefault="00247446" w:rsidP="00F916CA">
      <w:pPr>
        <w:tabs>
          <w:tab w:val="left" w:pos="90"/>
        </w:tabs>
        <w:autoSpaceDE w:val="0"/>
        <w:autoSpaceDN w:val="0"/>
        <w:adjustRightInd w:val="0"/>
        <w:spacing w:after="0" w:line="276" w:lineRule="auto"/>
        <w:jc w:val="both"/>
        <w:rPr>
          <w:rFonts w:cs="Tahoma"/>
          <w:b/>
          <w:lang w:val="en-GB"/>
        </w:rPr>
      </w:pPr>
      <w:r w:rsidRPr="00925776">
        <w:rPr>
          <w:rFonts w:cs="Times New Roman"/>
          <w:b/>
        </w:rPr>
        <w:t xml:space="preserve">Output 3: </w:t>
      </w:r>
      <w:r w:rsidR="006F7F27" w:rsidRPr="00925776">
        <w:rPr>
          <w:rFonts w:cs="Tahoma"/>
          <w:b/>
          <w:lang w:val="en-GB"/>
        </w:rPr>
        <w:t>Security</w:t>
      </w:r>
      <w:r w:rsidR="006F7F27" w:rsidRPr="004E000A">
        <w:rPr>
          <w:rFonts w:cs="Tahoma"/>
          <w:b/>
          <w:lang w:val="en-GB"/>
        </w:rPr>
        <w:t xml:space="preserve"> Sector Governance enhanced in Papua New Guinea through </w:t>
      </w:r>
      <w:r w:rsidR="00D900A8">
        <w:rPr>
          <w:rFonts w:cs="Tahoma"/>
          <w:b/>
          <w:lang w:val="en-GB"/>
        </w:rPr>
        <w:t xml:space="preserve">technical </w:t>
      </w:r>
      <w:r w:rsidR="006F7F27" w:rsidRPr="004E000A">
        <w:rPr>
          <w:rFonts w:cs="Tahoma"/>
          <w:b/>
          <w:lang w:val="en-GB"/>
        </w:rPr>
        <w:t xml:space="preserve">support </w:t>
      </w:r>
      <w:r w:rsidR="00D900A8">
        <w:rPr>
          <w:rFonts w:cs="Tahoma"/>
          <w:b/>
          <w:lang w:val="en-GB"/>
        </w:rPr>
        <w:t xml:space="preserve">for </w:t>
      </w:r>
      <w:r w:rsidR="006F7F27" w:rsidRPr="004E000A">
        <w:rPr>
          <w:rFonts w:cs="Tahoma"/>
          <w:b/>
          <w:lang w:val="en-GB"/>
        </w:rPr>
        <w:t>the full implementation of the Papua New Guinea 2013 National Security Strategy</w:t>
      </w:r>
      <w:r w:rsidR="006F7F27" w:rsidRPr="00CA4D69">
        <w:rPr>
          <w:rFonts w:cs="Tahoma"/>
          <w:sz w:val="20"/>
          <w:szCs w:val="20"/>
          <w:lang w:val="en-GB"/>
        </w:rPr>
        <w:t>.</w:t>
      </w:r>
    </w:p>
    <w:p w:rsidR="00247446" w:rsidRDefault="00247446" w:rsidP="00F916CA">
      <w:pPr>
        <w:tabs>
          <w:tab w:val="left" w:pos="90"/>
        </w:tabs>
        <w:autoSpaceDE w:val="0"/>
        <w:autoSpaceDN w:val="0"/>
        <w:adjustRightInd w:val="0"/>
        <w:spacing w:after="0" w:line="276" w:lineRule="auto"/>
        <w:jc w:val="both"/>
        <w:rPr>
          <w:rFonts w:cs="Times New Roman"/>
        </w:rPr>
      </w:pPr>
    </w:p>
    <w:p w:rsidR="006F7F27" w:rsidRDefault="006F7F27" w:rsidP="006F7F27">
      <w:pPr>
        <w:spacing w:line="276" w:lineRule="auto"/>
        <w:jc w:val="both"/>
        <w:rPr>
          <w:rFonts w:cs="Times New Roman"/>
        </w:rPr>
      </w:pPr>
      <w:r>
        <w:rPr>
          <w:rFonts w:cs="Times New Roman"/>
        </w:rPr>
        <w:t xml:space="preserve">In the Pacific, </w:t>
      </w:r>
      <w:r w:rsidRPr="00842B28">
        <w:rPr>
          <w:rFonts w:cs="Times New Roman"/>
        </w:rPr>
        <w:t>Pap</w:t>
      </w:r>
      <w:r>
        <w:rPr>
          <w:rFonts w:cs="Times New Roman"/>
        </w:rPr>
        <w:t>u</w:t>
      </w:r>
      <w:r w:rsidRPr="00842B28">
        <w:rPr>
          <w:rFonts w:cs="Times New Roman"/>
        </w:rPr>
        <w:t>a New Guinea has gone the furthest in actually devel</w:t>
      </w:r>
      <w:r>
        <w:rPr>
          <w:rFonts w:cs="Times New Roman"/>
        </w:rPr>
        <w:t>oping a national security strategy</w:t>
      </w:r>
      <w:r w:rsidRPr="00842B28">
        <w:rPr>
          <w:rFonts w:cs="Times New Roman"/>
        </w:rPr>
        <w:t xml:space="preserve"> </w:t>
      </w:r>
      <w:r>
        <w:rPr>
          <w:rFonts w:cs="Times New Roman"/>
        </w:rPr>
        <w:t xml:space="preserve">that is consistent with the regional Human Security Framework, and the </w:t>
      </w:r>
      <w:r w:rsidR="005541CE">
        <w:rPr>
          <w:rFonts w:cs="Times New Roman"/>
        </w:rPr>
        <w:t xml:space="preserve">Pacific </w:t>
      </w:r>
      <w:r>
        <w:rPr>
          <w:rFonts w:cs="Times New Roman"/>
        </w:rPr>
        <w:t xml:space="preserve">guiding principles for security sector governance. The UNDP Pacific Centre and PNG CO provided technical assistance for the finalization of PNG’s national security strategy, which was approved in late 2013. The challenge is now to see its full implementation, which is the responsibility of the Office of </w:t>
      </w:r>
      <w:r w:rsidRPr="00842B28">
        <w:rPr>
          <w:rFonts w:cs="Times New Roman"/>
        </w:rPr>
        <w:t xml:space="preserve">Security Coordination and Assessment </w:t>
      </w:r>
      <w:r w:rsidR="00B15E35">
        <w:rPr>
          <w:rFonts w:cs="Times New Roman"/>
        </w:rPr>
        <w:t>(OSCA</w:t>
      </w:r>
      <w:r w:rsidR="00D900A8">
        <w:rPr>
          <w:rFonts w:cs="Times New Roman"/>
        </w:rPr>
        <w:t xml:space="preserve">) </w:t>
      </w:r>
      <w:r>
        <w:rPr>
          <w:rFonts w:cs="Times New Roman"/>
        </w:rPr>
        <w:t xml:space="preserve">located in the Prime Minister’s Office.  This output will therefore focus on </w:t>
      </w:r>
      <w:r w:rsidR="00D900A8">
        <w:rPr>
          <w:rFonts w:cs="Times New Roman"/>
        </w:rPr>
        <w:t>the provision of technical assis</w:t>
      </w:r>
      <w:r w:rsidR="00B15E35">
        <w:rPr>
          <w:rFonts w:cs="Times New Roman"/>
        </w:rPr>
        <w:t>tance, on request from the OSCA,</w:t>
      </w:r>
      <w:r w:rsidR="00D900A8">
        <w:rPr>
          <w:rFonts w:cs="Times New Roman"/>
        </w:rPr>
        <w:t xml:space="preserve"> </w:t>
      </w:r>
      <w:r>
        <w:rPr>
          <w:rFonts w:cs="Times New Roman"/>
        </w:rPr>
        <w:t>to support the full implementation of the new national security strategy.</w:t>
      </w:r>
      <w:r w:rsidRPr="00842B28">
        <w:rPr>
          <w:rFonts w:cs="Times New Roman"/>
        </w:rPr>
        <w:t xml:space="preserve"> </w:t>
      </w:r>
    </w:p>
    <w:p w:rsidR="0053672B" w:rsidRPr="00842B28" w:rsidRDefault="006F7F27" w:rsidP="00F916CA">
      <w:pPr>
        <w:spacing w:line="276" w:lineRule="auto"/>
        <w:jc w:val="both"/>
        <w:rPr>
          <w:rFonts w:cs="Times New Roman"/>
        </w:rPr>
      </w:pPr>
      <w:r>
        <w:rPr>
          <w:rFonts w:cs="Times New Roman"/>
        </w:rPr>
        <w:t>This output will be implemented by UNDP (Pacific Centre and PNG CO) in collaboration with relevant UN agencies (e.g. UN Women, DPKO), and regional organizations (e.g. PIFS). This output will also link with existing UNDP governance projects in PNG such as parliamentary support, armed violence reduction and GBV.</w:t>
      </w:r>
    </w:p>
    <w:p w:rsidR="00842B28" w:rsidRDefault="00842B28" w:rsidP="00F916CA">
      <w:pPr>
        <w:tabs>
          <w:tab w:val="left" w:pos="90"/>
        </w:tabs>
        <w:autoSpaceDE w:val="0"/>
        <w:autoSpaceDN w:val="0"/>
        <w:adjustRightInd w:val="0"/>
        <w:spacing w:after="0" w:line="276" w:lineRule="auto"/>
        <w:jc w:val="both"/>
        <w:rPr>
          <w:rFonts w:cs="Times New Roman"/>
          <w:b/>
          <w:sz w:val="24"/>
          <w:szCs w:val="24"/>
        </w:rPr>
      </w:pPr>
    </w:p>
    <w:p w:rsidR="00BB0AFB" w:rsidRDefault="00BB0AFB" w:rsidP="00F916CA">
      <w:pPr>
        <w:tabs>
          <w:tab w:val="left" w:pos="90"/>
        </w:tabs>
        <w:autoSpaceDE w:val="0"/>
        <w:autoSpaceDN w:val="0"/>
        <w:adjustRightInd w:val="0"/>
        <w:spacing w:after="0" w:line="276" w:lineRule="auto"/>
        <w:jc w:val="both"/>
        <w:rPr>
          <w:rFonts w:cs="Times New Roman"/>
          <w:b/>
          <w:sz w:val="24"/>
          <w:szCs w:val="24"/>
        </w:rPr>
      </w:pPr>
      <w:r>
        <w:rPr>
          <w:rFonts w:cs="Times New Roman"/>
          <w:b/>
          <w:sz w:val="24"/>
          <w:szCs w:val="24"/>
        </w:rPr>
        <w:t xml:space="preserve">Part IV: </w:t>
      </w:r>
      <w:r w:rsidR="00317EBB">
        <w:rPr>
          <w:rFonts w:cs="Times New Roman"/>
          <w:b/>
          <w:sz w:val="24"/>
          <w:szCs w:val="24"/>
        </w:rPr>
        <w:t>MANAGEMENT ARRANGEMENTS</w:t>
      </w:r>
    </w:p>
    <w:p w:rsidR="00266316" w:rsidRPr="00586505" w:rsidRDefault="00266316" w:rsidP="00F916CA">
      <w:pPr>
        <w:tabs>
          <w:tab w:val="left" w:pos="90"/>
        </w:tabs>
        <w:autoSpaceDE w:val="0"/>
        <w:autoSpaceDN w:val="0"/>
        <w:adjustRightInd w:val="0"/>
        <w:spacing w:after="0" w:line="276" w:lineRule="auto"/>
        <w:jc w:val="both"/>
        <w:rPr>
          <w:rFonts w:cs="Times New Roman"/>
          <w:sz w:val="24"/>
          <w:szCs w:val="24"/>
        </w:rPr>
      </w:pPr>
    </w:p>
    <w:p w:rsidR="00FD321E" w:rsidRDefault="00FD321E" w:rsidP="00F916CA">
      <w:pPr>
        <w:tabs>
          <w:tab w:val="left" w:pos="90"/>
        </w:tabs>
        <w:autoSpaceDE w:val="0"/>
        <w:autoSpaceDN w:val="0"/>
        <w:adjustRightInd w:val="0"/>
        <w:spacing w:after="0" w:line="276" w:lineRule="auto"/>
        <w:jc w:val="both"/>
        <w:rPr>
          <w:rFonts w:cs="Times New Roman"/>
        </w:rPr>
      </w:pPr>
      <w:r w:rsidRPr="00832FE4">
        <w:rPr>
          <w:rFonts w:cs="Times New Roman"/>
        </w:rPr>
        <w:t>The project will be managed by the UNDP</w:t>
      </w:r>
      <w:r w:rsidR="00FF41E3">
        <w:rPr>
          <w:rFonts w:cs="Times New Roman"/>
        </w:rPr>
        <w:t xml:space="preserve"> </w:t>
      </w:r>
      <w:r w:rsidR="00925776">
        <w:rPr>
          <w:rFonts w:cs="Times New Roman"/>
        </w:rPr>
        <w:t xml:space="preserve">and </w:t>
      </w:r>
      <w:r w:rsidRPr="00832FE4">
        <w:rPr>
          <w:rFonts w:cs="Times New Roman"/>
        </w:rPr>
        <w:t xml:space="preserve">executed utilizing the Direct </w:t>
      </w:r>
      <w:r w:rsidR="00925776">
        <w:rPr>
          <w:rFonts w:cs="Times New Roman"/>
        </w:rPr>
        <w:t xml:space="preserve">Implementation </w:t>
      </w:r>
      <w:r w:rsidRPr="00832FE4">
        <w:rPr>
          <w:rFonts w:cs="Times New Roman"/>
        </w:rPr>
        <w:t>(D</w:t>
      </w:r>
      <w:r w:rsidR="00FF41E3">
        <w:rPr>
          <w:rFonts w:cs="Times New Roman"/>
        </w:rPr>
        <w:t>IM</w:t>
      </w:r>
      <w:r w:rsidRPr="00832FE4">
        <w:rPr>
          <w:rFonts w:cs="Times New Roman"/>
        </w:rPr>
        <w:t>) modality and supported operationally by UNDP in country presence. Under this project</w:t>
      </w:r>
      <w:r w:rsidR="00266316" w:rsidRPr="00832FE4">
        <w:rPr>
          <w:rFonts w:cs="Times New Roman"/>
        </w:rPr>
        <w:t>,</w:t>
      </w:r>
      <w:r w:rsidRPr="00832FE4">
        <w:rPr>
          <w:rFonts w:cs="Times New Roman"/>
        </w:rPr>
        <w:t xml:space="preserve"> UNDP will partner with other relevant UN Agencies, government ministries and departments of the target countr</w:t>
      </w:r>
      <w:r w:rsidR="00925776">
        <w:rPr>
          <w:rFonts w:cs="Times New Roman"/>
        </w:rPr>
        <w:t xml:space="preserve">ies and well as relevant CROPS.   </w:t>
      </w:r>
      <w:r w:rsidRPr="00832FE4">
        <w:rPr>
          <w:rFonts w:cs="Times New Roman"/>
        </w:rPr>
        <w:t xml:space="preserve">The </w:t>
      </w:r>
      <w:r w:rsidR="00FF41E3">
        <w:rPr>
          <w:rFonts w:cs="Times New Roman"/>
        </w:rPr>
        <w:t>P</w:t>
      </w:r>
      <w:r w:rsidRPr="00832FE4">
        <w:rPr>
          <w:rFonts w:cs="Times New Roman"/>
        </w:rPr>
        <w:t>roject will have a Project Advisory Board Chaired by the Pacific Centre. The membership will include the Pacific Centre Management Board including the Regional Bureau for Asia and the Pacific, two senior suppliers of any agency or government supporting the project</w:t>
      </w:r>
      <w:r w:rsidR="00266316" w:rsidRPr="00832FE4">
        <w:rPr>
          <w:rFonts w:cs="Times New Roman"/>
        </w:rPr>
        <w:t>,</w:t>
      </w:r>
      <w:r w:rsidRPr="00832FE4">
        <w:rPr>
          <w:rFonts w:cs="Times New Roman"/>
        </w:rPr>
        <w:t xml:space="preserve"> either technically or financially. Senior beneficiaries from a technical standpoint</w:t>
      </w:r>
      <w:r w:rsidR="00266316" w:rsidRPr="00832FE4">
        <w:rPr>
          <w:rFonts w:cs="Times New Roman"/>
        </w:rPr>
        <w:t>,</w:t>
      </w:r>
      <w:r w:rsidRPr="00832FE4">
        <w:rPr>
          <w:rFonts w:cs="Times New Roman"/>
        </w:rPr>
        <w:t xml:space="preserve"> will be target countries on whose behalf the project will be implemented. Hence these will include the UNDP Fiji Multi-Country Office, the UNDP PNG Office, UNDP Solomon Islands Sub -Office and the UNDP Samoa and Vanuatu Sub-Offices. The Project advisory board will provide strategic guidance to the implementation of the project and will meet </w:t>
      </w:r>
      <w:r w:rsidR="00266316" w:rsidRPr="00832FE4">
        <w:rPr>
          <w:rFonts w:cs="Times New Roman"/>
        </w:rPr>
        <w:t>twice</w:t>
      </w:r>
      <w:r w:rsidRPr="00832FE4">
        <w:rPr>
          <w:rFonts w:cs="Times New Roman"/>
        </w:rPr>
        <w:t xml:space="preserve"> a year or more frequently </w:t>
      </w:r>
      <w:r w:rsidR="00266316" w:rsidRPr="00832FE4">
        <w:rPr>
          <w:rFonts w:cs="Times New Roman"/>
        </w:rPr>
        <w:t>as required.</w:t>
      </w:r>
      <w:r w:rsidRPr="00832FE4">
        <w:rPr>
          <w:rFonts w:cs="Times New Roman"/>
        </w:rPr>
        <w:t xml:space="preserve"> </w:t>
      </w:r>
      <w:r w:rsidR="00266316" w:rsidRPr="00832FE4">
        <w:rPr>
          <w:rFonts w:cs="Times New Roman"/>
        </w:rPr>
        <w:t>Meetings</w:t>
      </w:r>
      <w:r w:rsidRPr="00832FE4">
        <w:rPr>
          <w:rFonts w:cs="Times New Roman"/>
        </w:rPr>
        <w:t xml:space="preserve"> will be recorded through minutes and participants lists. The chair will have responsibility </w:t>
      </w:r>
      <w:r w:rsidR="00266316" w:rsidRPr="00832FE4">
        <w:rPr>
          <w:rFonts w:cs="Times New Roman"/>
        </w:rPr>
        <w:t>for</w:t>
      </w:r>
      <w:r w:rsidRPr="00832FE4">
        <w:rPr>
          <w:rFonts w:cs="Times New Roman"/>
        </w:rPr>
        <w:t xml:space="preserve"> reporting progress to donors.</w:t>
      </w:r>
    </w:p>
    <w:p w:rsidR="00925776" w:rsidRPr="00832FE4" w:rsidRDefault="00925776" w:rsidP="00F916CA">
      <w:pPr>
        <w:tabs>
          <w:tab w:val="left" w:pos="90"/>
        </w:tabs>
        <w:autoSpaceDE w:val="0"/>
        <w:autoSpaceDN w:val="0"/>
        <w:adjustRightInd w:val="0"/>
        <w:spacing w:after="0" w:line="276" w:lineRule="auto"/>
        <w:jc w:val="both"/>
        <w:rPr>
          <w:rFonts w:cs="Times New Roman"/>
        </w:rPr>
      </w:pPr>
    </w:p>
    <w:p w:rsidR="00FD321E" w:rsidRDefault="004B495A" w:rsidP="00F916CA">
      <w:pPr>
        <w:tabs>
          <w:tab w:val="left" w:pos="90"/>
        </w:tabs>
        <w:autoSpaceDE w:val="0"/>
        <w:autoSpaceDN w:val="0"/>
        <w:adjustRightInd w:val="0"/>
        <w:spacing w:after="0" w:line="276" w:lineRule="auto"/>
        <w:jc w:val="both"/>
        <w:rPr>
          <w:rFonts w:cs="Times New Roman"/>
        </w:rPr>
      </w:pPr>
      <w:r w:rsidRPr="00AB41F7">
        <w:rPr>
          <w:rFonts w:cs="Times New Roman"/>
        </w:rPr>
        <w:t>U</w:t>
      </w:r>
      <w:r w:rsidR="00460D28" w:rsidRPr="00AB41F7">
        <w:rPr>
          <w:rFonts w:cs="Times New Roman"/>
        </w:rPr>
        <w:t>nder the UNDP Pacific Integration and Coherence Plan</w:t>
      </w:r>
      <w:r w:rsidRPr="00AB41F7">
        <w:rPr>
          <w:rFonts w:cs="Times New Roman"/>
        </w:rPr>
        <w:t xml:space="preserve"> there are numerous changes to the organizational structure to be implemented in early 2016 and th</w:t>
      </w:r>
      <w:r w:rsidR="00437986" w:rsidRPr="00AB41F7">
        <w:rPr>
          <w:rFonts w:cs="Times New Roman"/>
        </w:rPr>
        <w:t>e need for the appropriate</w:t>
      </w:r>
      <w:r w:rsidR="00460D28" w:rsidRPr="00AB41F7">
        <w:rPr>
          <w:rFonts w:cs="Times New Roman"/>
        </w:rPr>
        <w:t xml:space="preserve"> </w:t>
      </w:r>
      <w:r w:rsidRPr="00AB41F7">
        <w:rPr>
          <w:rFonts w:cs="Times New Roman"/>
        </w:rPr>
        <w:t>attrition of costs to projects.   Noting these issues</w:t>
      </w:r>
      <w:r w:rsidR="0034419D" w:rsidRPr="00AB41F7">
        <w:rPr>
          <w:rFonts w:cs="Times New Roman"/>
        </w:rPr>
        <w:t>,</w:t>
      </w:r>
      <w:r w:rsidRPr="00AB41F7">
        <w:rPr>
          <w:rFonts w:cs="Times New Roman"/>
        </w:rPr>
        <w:t xml:space="preserve"> </w:t>
      </w:r>
      <w:r w:rsidR="00993E9C" w:rsidRPr="00AB41F7">
        <w:rPr>
          <w:rFonts w:cs="Times New Roman"/>
        </w:rPr>
        <w:t>t</w:t>
      </w:r>
      <w:r w:rsidR="00FD321E" w:rsidRPr="00AB41F7">
        <w:rPr>
          <w:rFonts w:cs="Times New Roman"/>
        </w:rPr>
        <w:t xml:space="preserve">he Project team will </w:t>
      </w:r>
      <w:r w:rsidR="00993E9C" w:rsidRPr="00AB41F7">
        <w:rPr>
          <w:rFonts w:cs="Times New Roman"/>
        </w:rPr>
        <w:t xml:space="preserve">be drawn from existing </w:t>
      </w:r>
      <w:r w:rsidR="009127B1" w:rsidRPr="00AB41F7">
        <w:rPr>
          <w:rFonts w:cs="Times New Roman"/>
        </w:rPr>
        <w:t xml:space="preserve">shared resources and will </w:t>
      </w:r>
      <w:r w:rsidR="00FD321E" w:rsidRPr="00AB41F7">
        <w:rPr>
          <w:rFonts w:cs="Times New Roman"/>
        </w:rPr>
        <w:t>comprise a Project Manager</w:t>
      </w:r>
      <w:r w:rsidR="009D79E2" w:rsidRPr="00AB41F7">
        <w:rPr>
          <w:rFonts w:cs="Times New Roman"/>
        </w:rPr>
        <w:t xml:space="preserve"> (P4,</w:t>
      </w:r>
      <w:r w:rsidR="00AB41F7">
        <w:rPr>
          <w:rFonts w:cs="Times New Roman"/>
        </w:rPr>
        <w:t xml:space="preserve"> Governance Specialist, no cost</w:t>
      </w:r>
      <w:r w:rsidR="00F023F9">
        <w:rPr>
          <w:rFonts w:cs="Times New Roman"/>
        </w:rPr>
        <w:t xml:space="preserve"> to project</w:t>
      </w:r>
      <w:r w:rsidR="00AB41F7">
        <w:rPr>
          <w:rFonts w:cs="Times New Roman"/>
        </w:rPr>
        <w:t xml:space="preserve">) to oversee project management functions of (acting) Programme Analyst (NOB, 10% cost to project) </w:t>
      </w:r>
      <w:r w:rsidR="00D50045" w:rsidRPr="00AB41F7">
        <w:rPr>
          <w:rFonts w:cs="Times New Roman"/>
        </w:rPr>
        <w:t xml:space="preserve">and  </w:t>
      </w:r>
      <w:r w:rsidR="00FD321E" w:rsidRPr="00AB41F7">
        <w:rPr>
          <w:rFonts w:cs="Times New Roman"/>
        </w:rPr>
        <w:t xml:space="preserve">Project Assistant </w:t>
      </w:r>
      <w:r w:rsidR="00D50045" w:rsidRPr="00AB41F7">
        <w:rPr>
          <w:rFonts w:cs="Times New Roman"/>
        </w:rPr>
        <w:t>(ICS-</w:t>
      </w:r>
      <w:r w:rsidR="00F023F9">
        <w:rPr>
          <w:rFonts w:cs="Times New Roman"/>
        </w:rPr>
        <w:t>5,</w:t>
      </w:r>
      <w:r w:rsidR="00AB41F7">
        <w:rPr>
          <w:rFonts w:cs="Times New Roman"/>
        </w:rPr>
        <w:t xml:space="preserve"> 4</w:t>
      </w:r>
      <w:r w:rsidR="00D50045" w:rsidRPr="00AB41F7">
        <w:rPr>
          <w:rFonts w:cs="Times New Roman"/>
        </w:rPr>
        <w:t>0</w:t>
      </w:r>
      <w:r w:rsidR="00DE6C47" w:rsidRPr="00AB41F7">
        <w:rPr>
          <w:rFonts w:cs="Times New Roman"/>
        </w:rPr>
        <w:t xml:space="preserve">% </w:t>
      </w:r>
      <w:r w:rsidR="00F023F9">
        <w:rPr>
          <w:rFonts w:cs="Times New Roman"/>
        </w:rPr>
        <w:t>cost</w:t>
      </w:r>
      <w:r w:rsidR="00D50045" w:rsidRPr="00AB41F7">
        <w:rPr>
          <w:rFonts w:cs="Times New Roman"/>
        </w:rPr>
        <w:t xml:space="preserve"> to the project</w:t>
      </w:r>
      <w:r w:rsidR="00DE6C47" w:rsidRPr="00AB41F7">
        <w:rPr>
          <w:rFonts w:cs="Times New Roman"/>
        </w:rPr>
        <w:t>)</w:t>
      </w:r>
      <w:r w:rsidR="00FD321E" w:rsidRPr="00AB41F7">
        <w:rPr>
          <w:rFonts w:cs="Times New Roman"/>
        </w:rPr>
        <w:t xml:space="preserve">. </w:t>
      </w:r>
      <w:r w:rsidR="00925776" w:rsidRPr="00AB41F7">
        <w:rPr>
          <w:rFonts w:cs="Times New Roman"/>
        </w:rPr>
        <w:t xml:space="preserve"> </w:t>
      </w:r>
      <w:r w:rsidR="00FD321E" w:rsidRPr="00AB41F7">
        <w:rPr>
          <w:rFonts w:cs="Times New Roman"/>
        </w:rPr>
        <w:t xml:space="preserve">The Project team will be charged with the day to day management of the project with respect to planning, monitoring, reporting of progress, </w:t>
      </w:r>
      <w:r w:rsidR="00993E9C" w:rsidRPr="00AB41F7">
        <w:rPr>
          <w:rFonts w:cs="Times New Roman"/>
        </w:rPr>
        <w:t>logistical, administrative and financial support</w:t>
      </w:r>
      <w:r w:rsidR="00FD321E" w:rsidRPr="00AB41F7">
        <w:rPr>
          <w:rFonts w:cs="Times New Roman"/>
        </w:rPr>
        <w:t xml:space="preserve">. </w:t>
      </w:r>
      <w:r w:rsidR="00DE6C47" w:rsidRPr="00AB41F7">
        <w:rPr>
          <w:rFonts w:cs="Times New Roman"/>
        </w:rPr>
        <w:t xml:space="preserve"> The</w:t>
      </w:r>
      <w:r w:rsidR="00DE6C47">
        <w:rPr>
          <w:rFonts w:cs="Times New Roman"/>
        </w:rPr>
        <w:t xml:space="preserve"> Senior Peace and Development</w:t>
      </w:r>
      <w:r w:rsidR="00B467EE">
        <w:rPr>
          <w:rFonts w:cs="Times New Roman"/>
        </w:rPr>
        <w:t xml:space="preserve"> Advisor (P5, </w:t>
      </w:r>
      <w:r w:rsidR="00925776">
        <w:rPr>
          <w:rFonts w:cs="Times New Roman"/>
        </w:rPr>
        <w:t>no costs to the project</w:t>
      </w:r>
      <w:r w:rsidR="0034419D">
        <w:rPr>
          <w:rFonts w:cs="Times New Roman"/>
        </w:rPr>
        <w:t xml:space="preserve">) </w:t>
      </w:r>
      <w:r w:rsidR="00925776">
        <w:rPr>
          <w:rFonts w:cs="Times New Roman"/>
        </w:rPr>
        <w:t xml:space="preserve">will provide project </w:t>
      </w:r>
      <w:r w:rsidR="00DE6C47">
        <w:rPr>
          <w:rFonts w:cs="Times New Roman"/>
        </w:rPr>
        <w:t xml:space="preserve">advisory services </w:t>
      </w:r>
      <w:r w:rsidR="00657348">
        <w:rPr>
          <w:rFonts w:cs="Times New Roman"/>
        </w:rPr>
        <w:t>to all project outputs</w:t>
      </w:r>
      <w:r w:rsidR="00F237FB">
        <w:rPr>
          <w:rFonts w:cs="Times New Roman"/>
        </w:rPr>
        <w:t xml:space="preserve"> and manage and undertake strategic level engagements with key stakeholders</w:t>
      </w:r>
      <w:r w:rsidR="00657348">
        <w:rPr>
          <w:rFonts w:cs="Times New Roman"/>
        </w:rPr>
        <w:t xml:space="preserve">.  </w:t>
      </w:r>
      <w:r w:rsidR="00FD321E" w:rsidRPr="00832FE4">
        <w:rPr>
          <w:rFonts w:cs="Times New Roman"/>
        </w:rPr>
        <w:t>The Project will receive operational support from UNDP Pacific Centre and UNDP Fiji Multi-Country Offices</w:t>
      </w:r>
      <w:r w:rsidR="00DE6C47">
        <w:rPr>
          <w:rFonts w:cs="Times New Roman"/>
        </w:rPr>
        <w:t>, Joint Operations Team.</w:t>
      </w:r>
      <w:r w:rsidR="0048190F">
        <w:rPr>
          <w:rFonts w:cs="Times New Roman"/>
        </w:rPr>
        <w:t xml:space="preserve">  The Governance Specialist (P4) has gender expertise and background to support the implementation of gender equality being a significant objective of this project, with </w:t>
      </w:r>
      <w:r w:rsidR="00B467EE">
        <w:rPr>
          <w:rFonts w:cs="Times New Roman"/>
        </w:rPr>
        <w:t xml:space="preserve">the project being assigned </w:t>
      </w:r>
      <w:r w:rsidR="0048190F">
        <w:rPr>
          <w:rFonts w:cs="Times New Roman"/>
        </w:rPr>
        <w:t>Gender Marker 2.</w:t>
      </w:r>
    </w:p>
    <w:p w:rsidR="00925776" w:rsidRPr="00832FE4" w:rsidRDefault="00925776" w:rsidP="00F916CA">
      <w:pPr>
        <w:tabs>
          <w:tab w:val="left" w:pos="90"/>
        </w:tabs>
        <w:autoSpaceDE w:val="0"/>
        <w:autoSpaceDN w:val="0"/>
        <w:adjustRightInd w:val="0"/>
        <w:spacing w:after="0" w:line="276" w:lineRule="auto"/>
        <w:jc w:val="both"/>
        <w:rPr>
          <w:rFonts w:cs="Times New Roman"/>
        </w:rPr>
      </w:pPr>
    </w:p>
    <w:p w:rsidR="00FD321E" w:rsidRDefault="00FD321E" w:rsidP="00F916CA">
      <w:pPr>
        <w:tabs>
          <w:tab w:val="left" w:pos="90"/>
        </w:tabs>
        <w:autoSpaceDE w:val="0"/>
        <w:autoSpaceDN w:val="0"/>
        <w:adjustRightInd w:val="0"/>
        <w:spacing w:after="0" w:line="276" w:lineRule="auto"/>
        <w:jc w:val="both"/>
        <w:rPr>
          <w:rFonts w:cs="Times New Roman"/>
        </w:rPr>
      </w:pPr>
      <w:r w:rsidRPr="00832FE4">
        <w:rPr>
          <w:rFonts w:cs="Times New Roman"/>
        </w:rPr>
        <w:t>The Pacific Centre Manager will be the Project Assurance Officer</w:t>
      </w:r>
      <w:r w:rsidR="00CC5DDD" w:rsidRPr="00832FE4">
        <w:rPr>
          <w:rFonts w:cs="Times New Roman"/>
        </w:rPr>
        <w:t>,</w:t>
      </w:r>
      <w:r w:rsidRPr="00832FE4">
        <w:rPr>
          <w:rFonts w:cs="Times New Roman"/>
        </w:rPr>
        <w:t xml:space="preserve"> and in this capacity will carry out objective and independent project oversight and monitoring functions and review deliverables as deemed necessary. The Project Managers tolerances will be monitored by the Project Assurance Officer</w:t>
      </w:r>
      <w:r w:rsidR="00CC5DDD" w:rsidRPr="00832FE4">
        <w:rPr>
          <w:rFonts w:cs="Times New Roman"/>
        </w:rPr>
        <w:t>,</w:t>
      </w:r>
      <w:r w:rsidRPr="00832FE4">
        <w:rPr>
          <w:rFonts w:cs="Times New Roman"/>
        </w:rPr>
        <w:t xml:space="preserve"> especially when they are thought to have been exceeded </w:t>
      </w:r>
      <w:r w:rsidR="00925776">
        <w:rPr>
          <w:rFonts w:cs="Times New Roman"/>
        </w:rPr>
        <w:t xml:space="preserve">in terms of time and budgeting.  </w:t>
      </w:r>
      <w:r w:rsidRPr="00832FE4">
        <w:rPr>
          <w:rFonts w:cs="Times New Roman"/>
        </w:rPr>
        <w:t>The Project will be subject to periodic UNDP reviews and to a final evaluation to entail detailed information on project status with respect to outcomes, outputs and budgeting as outlined in the resource and results framework.</w:t>
      </w:r>
    </w:p>
    <w:p w:rsidR="004E5928" w:rsidRDefault="004E5928" w:rsidP="00F916CA">
      <w:pPr>
        <w:tabs>
          <w:tab w:val="left" w:pos="90"/>
        </w:tabs>
        <w:autoSpaceDE w:val="0"/>
        <w:autoSpaceDN w:val="0"/>
        <w:adjustRightInd w:val="0"/>
        <w:spacing w:after="0" w:line="276" w:lineRule="auto"/>
        <w:rPr>
          <w:rFonts w:cs="Times New Roman"/>
        </w:rPr>
      </w:pPr>
    </w:p>
    <w:p w:rsidR="00925776" w:rsidRDefault="004E5928" w:rsidP="00F916CA">
      <w:pPr>
        <w:tabs>
          <w:tab w:val="left" w:pos="90"/>
        </w:tabs>
        <w:autoSpaceDE w:val="0"/>
        <w:autoSpaceDN w:val="0"/>
        <w:adjustRightInd w:val="0"/>
        <w:spacing w:after="0" w:line="276" w:lineRule="auto"/>
        <w:rPr>
          <w:rFonts w:cs="Times New Roman"/>
          <w:sz w:val="24"/>
          <w:szCs w:val="24"/>
        </w:rPr>
      </w:pPr>
      <w:r>
        <w:rPr>
          <w:rFonts w:cs="Times New Roman"/>
        </w:rPr>
        <w:t xml:space="preserve">Finally the IASSRTF along with other UN agencies will act as advisory to the Project Manager to ensure that important linkages are made to other stakeholders – in particular to ensure that the project is inclusive and brings in the relevant expertise to the various different forums, workshops and activities envisaged under this project. </w:t>
      </w:r>
    </w:p>
    <w:p w:rsidR="00925776" w:rsidRDefault="00925776" w:rsidP="00F916CA">
      <w:pPr>
        <w:tabs>
          <w:tab w:val="left" w:pos="90"/>
        </w:tabs>
        <w:autoSpaceDE w:val="0"/>
        <w:autoSpaceDN w:val="0"/>
        <w:adjustRightInd w:val="0"/>
        <w:spacing w:after="0" w:line="276" w:lineRule="auto"/>
        <w:rPr>
          <w:rFonts w:cs="Times New Roman"/>
          <w:sz w:val="24"/>
          <w:szCs w:val="24"/>
        </w:rPr>
      </w:pPr>
    </w:p>
    <w:p w:rsidR="004E5928" w:rsidRPr="00586505" w:rsidRDefault="004E5928" w:rsidP="00F916CA">
      <w:pPr>
        <w:tabs>
          <w:tab w:val="left" w:pos="90"/>
        </w:tabs>
        <w:autoSpaceDE w:val="0"/>
        <w:autoSpaceDN w:val="0"/>
        <w:adjustRightInd w:val="0"/>
        <w:spacing w:after="0" w:line="276" w:lineRule="auto"/>
        <w:rPr>
          <w:rFonts w:cs="Times New Roman"/>
          <w:sz w:val="24"/>
          <w:szCs w:val="24"/>
        </w:rPr>
      </w:pPr>
    </w:p>
    <w:p w:rsidR="00FD321E" w:rsidRPr="00586505" w:rsidRDefault="00DC3945" w:rsidP="00F916CA">
      <w:pPr>
        <w:tabs>
          <w:tab w:val="left" w:pos="90"/>
        </w:tabs>
        <w:autoSpaceDE w:val="0"/>
        <w:autoSpaceDN w:val="0"/>
        <w:adjustRightInd w:val="0"/>
        <w:spacing w:after="0" w:line="276" w:lineRule="auto"/>
        <w:rPr>
          <w:rFonts w:cs="Times New Roman"/>
          <w:b/>
          <w:sz w:val="24"/>
          <w:szCs w:val="24"/>
        </w:rPr>
      </w:pPr>
      <w:r w:rsidRPr="00586505">
        <w:rPr>
          <w:rFonts w:cs="Times New Roman"/>
          <w:sz w:val="24"/>
          <w:szCs w:val="24"/>
        </w:rPr>
        <w:tab/>
      </w:r>
      <w:r w:rsidRPr="00586505">
        <w:rPr>
          <w:rFonts w:cs="Times New Roman"/>
          <w:sz w:val="24"/>
          <w:szCs w:val="24"/>
        </w:rPr>
        <w:tab/>
      </w:r>
      <w:r w:rsidRPr="00586505">
        <w:rPr>
          <w:rFonts w:cs="Times New Roman"/>
          <w:sz w:val="24"/>
          <w:szCs w:val="24"/>
        </w:rPr>
        <w:tab/>
      </w:r>
      <w:r w:rsidRPr="00586505">
        <w:rPr>
          <w:rFonts w:cs="Times New Roman"/>
          <w:sz w:val="24"/>
          <w:szCs w:val="24"/>
        </w:rPr>
        <w:tab/>
      </w:r>
      <w:r w:rsidR="00FD321E" w:rsidRPr="00586505">
        <w:rPr>
          <w:rFonts w:cs="Times New Roman"/>
          <w:b/>
          <w:sz w:val="24"/>
          <w:szCs w:val="24"/>
        </w:rPr>
        <w:t>PROJECT ORGANISATIONAL STRUCTURE</w:t>
      </w:r>
    </w:p>
    <w:p w:rsidR="00DF1D92" w:rsidRPr="00586505" w:rsidRDefault="00DF1D92" w:rsidP="00F916CA">
      <w:pPr>
        <w:tabs>
          <w:tab w:val="left" w:pos="90"/>
        </w:tabs>
        <w:autoSpaceDE w:val="0"/>
        <w:autoSpaceDN w:val="0"/>
        <w:adjustRightInd w:val="0"/>
        <w:spacing w:after="0" w:line="276" w:lineRule="auto"/>
        <w:rPr>
          <w:rFonts w:cs="Times New Roman"/>
          <w:b/>
          <w:sz w:val="24"/>
          <w:szCs w:val="24"/>
        </w:rPr>
      </w:pPr>
    </w:p>
    <w:p w:rsidR="00FD321E" w:rsidRPr="00586505" w:rsidRDefault="00882994"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2336" behindDoc="0" locked="0" layoutInCell="1" allowOverlap="1" wp14:anchorId="5E278518" wp14:editId="2D29DC10">
                <wp:simplePos x="0" y="0"/>
                <wp:positionH relativeFrom="margin">
                  <wp:posOffset>501650</wp:posOffset>
                </wp:positionH>
                <wp:positionV relativeFrom="paragraph">
                  <wp:posOffset>93980</wp:posOffset>
                </wp:positionV>
                <wp:extent cx="4857750" cy="684178"/>
                <wp:effectExtent l="0" t="0" r="19050" b="20955"/>
                <wp:wrapNone/>
                <wp:docPr id="4" name="Flowchart: Process 4"/>
                <wp:cNvGraphicFramePr/>
                <a:graphic xmlns:a="http://schemas.openxmlformats.org/drawingml/2006/main">
                  <a:graphicData uri="http://schemas.microsoft.com/office/word/2010/wordprocessingShape">
                    <wps:wsp>
                      <wps:cNvSpPr/>
                      <wps:spPr>
                        <a:xfrm>
                          <a:off x="0" y="0"/>
                          <a:ext cx="4857750" cy="684178"/>
                        </a:xfrm>
                        <a:prstGeom prst="flowChartProcess">
                          <a:avLst/>
                        </a:prstGeom>
                        <a:solidFill>
                          <a:srgbClr val="FFC000">
                            <a:lumMod val="75000"/>
                          </a:srgbClr>
                        </a:solidFill>
                        <a:ln w="12700" cap="flat" cmpd="sng" algn="ctr">
                          <a:solidFill>
                            <a:srgbClr val="5B9BD5">
                              <a:shade val="50000"/>
                            </a:srgbClr>
                          </a:solidFill>
                          <a:prstDash val="solid"/>
                          <a:miter lim="800000"/>
                        </a:ln>
                        <a:effectLst/>
                      </wps:spPr>
                      <wps:txbx>
                        <w:txbxContent>
                          <w:p w:rsidR="005B6055" w:rsidRPr="00015D6F" w:rsidRDefault="005B6055" w:rsidP="00FD321E">
                            <w:pPr>
                              <w:jc w:val="center"/>
                              <w:rPr>
                                <w:rFonts w:ascii="Tahoma" w:hAnsi="Tahoma" w:cs="Tahoma"/>
                                <w:sz w:val="20"/>
                                <w:szCs w:val="20"/>
                              </w:rPr>
                            </w:pPr>
                            <w:r w:rsidRPr="00015D6F">
                              <w:rPr>
                                <w:rFonts w:ascii="Tahoma" w:hAnsi="Tahoma" w:cs="Tahoma"/>
                                <w:sz w:val="20"/>
                                <w:szCs w:val="20"/>
                              </w:rPr>
                              <w:t>PROJECT ADVISORY BOARD</w:t>
                            </w:r>
                          </w:p>
                          <w:p w:rsidR="005B6055" w:rsidRPr="00015D6F" w:rsidRDefault="005B6055" w:rsidP="00FD321E">
                            <w:pPr>
                              <w:jc w:val="center"/>
                              <w:rPr>
                                <w:rFonts w:ascii="Tahoma" w:hAnsi="Tahoma" w:cs="Tahoma"/>
                                <w:sz w:val="20"/>
                                <w:szCs w:val="20"/>
                              </w:rPr>
                            </w:pPr>
                            <w:r w:rsidRPr="00015D6F">
                              <w:rPr>
                                <w:rFonts w:ascii="Tahoma" w:hAnsi="Tahoma" w:cs="Tahoma"/>
                                <w:sz w:val="20"/>
                                <w:szCs w:val="20"/>
                              </w:rPr>
                              <w:t xml:space="preserve">Pacific Centre Management Board; Regional Bureau for Asia and the Pacific; 2 Suppliers; 2 </w:t>
                            </w:r>
                            <w:r>
                              <w:rPr>
                                <w:rFonts w:ascii="Tahoma" w:hAnsi="Tahoma" w:cs="Tahoma"/>
                                <w:sz w:val="20"/>
                                <w:szCs w:val="20"/>
                              </w:rPr>
                              <w:t>Beneficiaries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78518" id="_x0000_t109" coordsize="21600,21600" o:spt="109" path="m,l,21600r21600,l21600,xe">
                <v:stroke joinstyle="miter"/>
                <v:path gradientshapeok="t" o:connecttype="rect"/>
              </v:shapetype>
              <v:shape id="Flowchart: Process 4" o:spid="_x0000_s1026" type="#_x0000_t109" style="position:absolute;left:0;text-align:left;margin-left:39.5pt;margin-top:7.4pt;width:382.5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" fillcolor="#bf9000" strokecolor="#41719c" strokeweight="1pt">
                <v:textbox>
                  <w:txbxContent>
                    <w:p w:rsidR="005B6055" w:rsidRPr="00015D6F" w:rsidRDefault="005B6055" w:rsidP="00FD321E">
                      <w:pPr>
                        <w:jc w:val="center"/>
                        <w:rPr>
                          <w:rFonts w:ascii="Tahoma" w:hAnsi="Tahoma" w:cs="Tahoma"/>
                          <w:sz w:val="20"/>
                          <w:szCs w:val="20"/>
                        </w:rPr>
                      </w:pPr>
                      <w:r w:rsidRPr="00015D6F">
                        <w:rPr>
                          <w:rFonts w:ascii="Tahoma" w:hAnsi="Tahoma" w:cs="Tahoma"/>
                          <w:sz w:val="20"/>
                          <w:szCs w:val="20"/>
                        </w:rPr>
                        <w:t>PROJECT ADVISORY BOARD</w:t>
                      </w:r>
                    </w:p>
                    <w:p w:rsidR="005B6055" w:rsidRPr="00015D6F" w:rsidRDefault="005B6055" w:rsidP="00FD321E">
                      <w:pPr>
                        <w:jc w:val="center"/>
                        <w:rPr>
                          <w:rFonts w:ascii="Tahoma" w:hAnsi="Tahoma" w:cs="Tahoma"/>
                          <w:sz w:val="20"/>
                          <w:szCs w:val="20"/>
                        </w:rPr>
                      </w:pPr>
                      <w:r w:rsidRPr="00015D6F">
                        <w:rPr>
                          <w:rFonts w:ascii="Tahoma" w:hAnsi="Tahoma" w:cs="Tahoma"/>
                          <w:sz w:val="20"/>
                          <w:szCs w:val="20"/>
                        </w:rPr>
                        <w:t xml:space="preserve">Pacific Centre Management Board; Regional Bureau for Asia and the Pacific; 2 Suppliers; 2 </w:t>
                      </w:r>
                      <w:r>
                        <w:rPr>
                          <w:rFonts w:ascii="Tahoma" w:hAnsi="Tahoma" w:cs="Tahoma"/>
                          <w:sz w:val="20"/>
                          <w:szCs w:val="20"/>
                        </w:rPr>
                        <w:t>Beneficiaries</w:t>
                      </w:r>
                    </w:p>
                  </w:txbxContent>
                </v:textbox>
                <w10:wrap anchorx="margin"/>
              </v:shape>
            </w:pict>
          </mc:Fallback>
        </mc:AlternateContent>
      </w:r>
    </w:p>
    <w:p w:rsidR="00FD321E" w:rsidRPr="00586505" w:rsidRDefault="00FD321E" w:rsidP="00F916CA">
      <w:pPr>
        <w:spacing w:after="60" w:line="276" w:lineRule="auto"/>
        <w:jc w:val="both"/>
        <w:rPr>
          <w:rFonts w:cs="Times New Roman"/>
          <w:sz w:val="24"/>
          <w:szCs w:val="24"/>
        </w:rPr>
      </w:pPr>
    </w:p>
    <w:p w:rsidR="00FD321E" w:rsidRPr="00586505" w:rsidRDefault="00FD321E" w:rsidP="00F916CA">
      <w:pPr>
        <w:spacing w:after="60" w:line="276" w:lineRule="auto"/>
        <w:jc w:val="both"/>
        <w:rPr>
          <w:rFonts w:cs="Times New Roman"/>
          <w:sz w:val="24"/>
          <w:szCs w:val="24"/>
        </w:rPr>
      </w:pP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4384" behindDoc="0" locked="0" layoutInCell="1" allowOverlap="1" wp14:anchorId="39EC0C55" wp14:editId="2FA1ED66">
                <wp:simplePos x="0" y="0"/>
                <wp:positionH relativeFrom="margin">
                  <wp:align>left</wp:align>
                </wp:positionH>
                <wp:positionV relativeFrom="paragraph">
                  <wp:posOffset>173355</wp:posOffset>
                </wp:positionV>
                <wp:extent cx="1639322" cy="721360"/>
                <wp:effectExtent l="0" t="0" r="18415" b="21590"/>
                <wp:wrapNone/>
                <wp:docPr id="6" name="Flowchart: Process 6"/>
                <wp:cNvGraphicFramePr/>
                <a:graphic xmlns:a="http://schemas.openxmlformats.org/drawingml/2006/main">
                  <a:graphicData uri="http://schemas.microsoft.com/office/word/2010/wordprocessingShape">
                    <wps:wsp>
                      <wps:cNvSpPr/>
                      <wps:spPr>
                        <a:xfrm>
                          <a:off x="0" y="0"/>
                          <a:ext cx="1639322" cy="72136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Default="005B6055" w:rsidP="00FD321E">
                            <w:pPr>
                              <w:jc w:val="center"/>
                              <w:rPr>
                                <w:rFonts w:ascii="Tahoma" w:hAnsi="Tahoma" w:cs="Tahoma"/>
                                <w:sz w:val="18"/>
                                <w:szCs w:val="18"/>
                              </w:rPr>
                            </w:pPr>
                            <w:r>
                              <w:rPr>
                                <w:rFonts w:ascii="Tahoma" w:hAnsi="Tahoma" w:cs="Tahoma"/>
                                <w:sz w:val="18"/>
                                <w:szCs w:val="18"/>
                              </w:rPr>
                              <w:t>UNDP PACIFIC CENTRE MANAGER (D2)</w:t>
                            </w:r>
                          </w:p>
                          <w:p w:rsidR="005B6055" w:rsidRPr="00FF2532" w:rsidRDefault="005B6055" w:rsidP="00FD321E">
                            <w:pPr>
                              <w:jc w:val="center"/>
                              <w:rPr>
                                <w:rFonts w:ascii="Tahoma" w:hAnsi="Tahoma" w:cs="Tahoma"/>
                                <w:sz w:val="18"/>
                                <w:szCs w:val="18"/>
                              </w:rPr>
                            </w:pPr>
                            <w:r>
                              <w:rPr>
                                <w:rFonts w:ascii="Tahoma" w:hAnsi="Tahoma" w:cs="Tahoma"/>
                                <w:sz w:val="18"/>
                                <w:szCs w:val="18"/>
                              </w:rPr>
                              <w:t>PROJECT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C0C55" id="Flowchart: Process 6" o:spid="_x0000_s1027" type="#_x0000_t109" style="position:absolute;left:0;text-align:left;margin-left:0;margin-top:13.65pt;width:129.1pt;height:56.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" fillcolor="#5b9bd5" strokecolor="#41719c" strokeweight="1pt">
                <v:textbox>
                  <w:txbxContent>
                    <w:p w:rsidR="005B6055" w:rsidRDefault="005B6055" w:rsidP="00FD321E">
                      <w:pPr>
                        <w:jc w:val="center"/>
                        <w:rPr>
                          <w:rFonts w:ascii="Tahoma" w:hAnsi="Tahoma" w:cs="Tahoma"/>
                          <w:sz w:val="18"/>
                          <w:szCs w:val="18"/>
                        </w:rPr>
                      </w:pPr>
                      <w:r>
                        <w:rPr>
                          <w:rFonts w:ascii="Tahoma" w:hAnsi="Tahoma" w:cs="Tahoma"/>
                          <w:sz w:val="18"/>
                          <w:szCs w:val="18"/>
                        </w:rPr>
                        <w:t>UNDP PACIFIC CENTRE MANAGER (D2)</w:t>
                      </w:r>
                    </w:p>
                    <w:p w:rsidR="005B6055" w:rsidRPr="00FF2532" w:rsidRDefault="005B6055" w:rsidP="00FD321E">
                      <w:pPr>
                        <w:jc w:val="center"/>
                        <w:rPr>
                          <w:rFonts w:ascii="Tahoma" w:hAnsi="Tahoma" w:cs="Tahoma"/>
                          <w:sz w:val="18"/>
                          <w:szCs w:val="18"/>
                        </w:rPr>
                      </w:pPr>
                      <w:r>
                        <w:rPr>
                          <w:rFonts w:ascii="Tahoma" w:hAnsi="Tahoma" w:cs="Tahoma"/>
                          <w:sz w:val="18"/>
                          <w:szCs w:val="18"/>
                        </w:rPr>
                        <w:t>PROJECT ASSURANCE</w:t>
                      </w:r>
                    </w:p>
                  </w:txbxContent>
                </v:textbox>
                <w10:wrap anchorx="margin"/>
              </v:shape>
            </w:pict>
          </mc:Fallback>
        </mc:AlternateContent>
      </w:r>
      <w:r w:rsidR="009A46AC" w:rsidRPr="00586505">
        <w:rPr>
          <w:rFonts w:cs="Times New Roman"/>
          <w:noProof/>
          <w:sz w:val="24"/>
          <w:szCs w:val="24"/>
        </w:rPr>
        <mc:AlternateContent>
          <mc:Choice Requires="wps">
            <w:drawing>
              <wp:anchor distT="0" distB="0" distL="114300" distR="114300" simplePos="0" relativeHeight="251668480" behindDoc="0" locked="0" layoutInCell="1" allowOverlap="1" wp14:anchorId="721D37B2" wp14:editId="65EE991B">
                <wp:simplePos x="0" y="0"/>
                <wp:positionH relativeFrom="column">
                  <wp:posOffset>2933701</wp:posOffset>
                </wp:positionH>
                <wp:positionV relativeFrom="paragraph">
                  <wp:posOffset>36195</wp:posOffset>
                </wp:positionV>
                <wp:extent cx="0" cy="6762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67627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129AF"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85pt" to="23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" strokecolor="windowText" strokeweight="2pt">
                <v:stroke joinstyle="miter"/>
              </v:line>
            </w:pict>
          </mc:Fallback>
        </mc:AlternateContent>
      </w: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78720" behindDoc="0" locked="0" layoutInCell="1" allowOverlap="1" wp14:anchorId="0D747AF3" wp14:editId="489D8376">
                <wp:simplePos x="0" y="0"/>
                <wp:positionH relativeFrom="margin">
                  <wp:posOffset>4191000</wp:posOffset>
                </wp:positionH>
                <wp:positionV relativeFrom="paragraph">
                  <wp:posOffset>14605</wp:posOffset>
                </wp:positionV>
                <wp:extent cx="1653540" cy="711835"/>
                <wp:effectExtent l="0" t="0" r="22860" b="12065"/>
                <wp:wrapNone/>
                <wp:docPr id="1" name="Flowchart: Process 1"/>
                <wp:cNvGraphicFramePr/>
                <a:graphic xmlns:a="http://schemas.openxmlformats.org/drawingml/2006/main">
                  <a:graphicData uri="http://schemas.microsoft.com/office/word/2010/wordprocessingShape">
                    <wps:wsp>
                      <wps:cNvSpPr/>
                      <wps:spPr>
                        <a:xfrm>
                          <a:off x="0" y="0"/>
                          <a:ext cx="1653540" cy="71183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Pr="005209CF" w:rsidRDefault="005B6055" w:rsidP="005209CF">
                            <w:pPr>
                              <w:jc w:val="center"/>
                              <w:rPr>
                                <w:rFonts w:ascii="Tahoma" w:hAnsi="Tahoma" w:cs="Tahoma"/>
                                <w:sz w:val="18"/>
                                <w:szCs w:val="18"/>
                              </w:rPr>
                            </w:pPr>
                            <w:r>
                              <w:rPr>
                                <w:rFonts w:ascii="Tahoma" w:hAnsi="Tahoma" w:cs="Tahoma"/>
                                <w:sz w:val="18"/>
                                <w:szCs w:val="18"/>
                              </w:rPr>
                              <w:t>IASSRTF Support and UN agency stakeholders – Partnerships</w:t>
                            </w:r>
                            <w:r>
                              <w:rPr>
                                <w:rFonts w:ascii="Tahoma" w:hAnsi="Tahoma" w:cs="Tahoma"/>
                                <w:sz w:val="18"/>
                                <w:szCs w:val="18"/>
                              </w:rPr>
                              <w:br/>
                              <w:t>(advisory)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7AF3" id="Flowchart: Process 1" o:spid="_x0000_s1028" type="#_x0000_t109" style="position:absolute;left:0;text-align:left;margin-left:330pt;margin-top:1.15pt;width:130.2pt;height:5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" fillcolor="#5b9bd5" strokecolor="#41719c" strokeweight="1pt">
                <v:textbox>
                  <w:txbxContent>
                    <w:p w:rsidR="005B6055" w:rsidRPr="005209CF" w:rsidRDefault="005B6055" w:rsidP="005209CF">
                      <w:pPr>
                        <w:jc w:val="center"/>
                        <w:rPr>
                          <w:rFonts w:ascii="Tahoma" w:hAnsi="Tahoma" w:cs="Tahoma"/>
                          <w:sz w:val="18"/>
                          <w:szCs w:val="18"/>
                        </w:rPr>
                      </w:pPr>
                      <w:r>
                        <w:rPr>
                          <w:rFonts w:ascii="Tahoma" w:hAnsi="Tahoma" w:cs="Tahoma"/>
                          <w:sz w:val="18"/>
                          <w:szCs w:val="18"/>
                        </w:rPr>
                        <w:t>IASSRTF Support and UN agency stakeholders – Partnerships</w:t>
                      </w:r>
                      <w:r>
                        <w:rPr>
                          <w:rFonts w:ascii="Tahoma" w:hAnsi="Tahoma" w:cs="Tahoma"/>
                          <w:sz w:val="18"/>
                          <w:szCs w:val="18"/>
                        </w:rPr>
                        <w:br/>
                        <w:t>(advisory)</w:t>
                      </w:r>
                    </w:p>
                  </w:txbxContent>
                </v:textbox>
                <w10:wrap anchorx="margin"/>
              </v:shape>
            </w:pict>
          </mc:Fallback>
        </mc:AlternateContent>
      </w:r>
      <w:r w:rsidRPr="00586505">
        <w:rPr>
          <w:rFonts w:cs="Times New Roman"/>
          <w:noProof/>
          <w:sz w:val="24"/>
          <w:szCs w:val="24"/>
        </w:rPr>
        <mc:AlternateContent>
          <mc:Choice Requires="wps">
            <w:drawing>
              <wp:anchor distT="0" distB="0" distL="114300" distR="114300" simplePos="0" relativeHeight="251669504" behindDoc="0" locked="0" layoutInCell="1" allowOverlap="1" wp14:anchorId="5DC90EC5" wp14:editId="054891A8">
                <wp:simplePos x="0" y="0"/>
                <wp:positionH relativeFrom="column">
                  <wp:posOffset>1685925</wp:posOffset>
                </wp:positionH>
                <wp:positionV relativeFrom="paragraph">
                  <wp:posOffset>203199</wp:posOffset>
                </wp:positionV>
                <wp:extent cx="12477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247775" cy="952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C57DC"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6pt" to="2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" strokecolor="windowText" strokeweight="2pt">
                <v:stroke joinstyle="miter"/>
              </v:line>
            </w:pict>
          </mc:Fallback>
        </mc:AlternateContent>
      </w:r>
    </w:p>
    <w:p w:rsidR="00FD321E" w:rsidRPr="00586505" w:rsidRDefault="009A46AC"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1312" behindDoc="0" locked="0" layoutInCell="1" allowOverlap="1" wp14:anchorId="4C0897B2" wp14:editId="00B07450">
                <wp:simplePos x="0" y="0"/>
                <wp:positionH relativeFrom="margin">
                  <wp:align>center</wp:align>
                </wp:positionH>
                <wp:positionV relativeFrom="paragraph">
                  <wp:posOffset>227330</wp:posOffset>
                </wp:positionV>
                <wp:extent cx="1743075" cy="745300"/>
                <wp:effectExtent l="0" t="0" r="28575" b="17145"/>
                <wp:wrapNone/>
                <wp:docPr id="3" name="Flowchart: Process 3"/>
                <wp:cNvGraphicFramePr/>
                <a:graphic xmlns:a="http://schemas.openxmlformats.org/drawingml/2006/main">
                  <a:graphicData uri="http://schemas.microsoft.com/office/word/2010/wordprocessingShape">
                    <wps:wsp>
                      <wps:cNvSpPr/>
                      <wps:spPr>
                        <a:xfrm>
                          <a:off x="0" y="0"/>
                          <a:ext cx="1743075" cy="745300"/>
                        </a:xfrm>
                        <a:prstGeom prst="flowChartProcess">
                          <a:avLst/>
                        </a:prstGeom>
                        <a:solidFill>
                          <a:srgbClr val="00B050"/>
                        </a:solidFill>
                        <a:ln w="12700" cap="flat" cmpd="sng" algn="ctr">
                          <a:solidFill>
                            <a:srgbClr val="0070C0"/>
                          </a:solidFill>
                          <a:prstDash val="solid"/>
                          <a:miter lim="800000"/>
                        </a:ln>
                        <a:effectLst/>
                      </wps:spPr>
                      <wps:txbx>
                        <w:txbxContent>
                          <w:p w:rsidR="005B6055" w:rsidRPr="001A7C1A" w:rsidRDefault="005B6055" w:rsidP="005A6AC7">
                            <w:pPr>
                              <w:jc w:val="center"/>
                              <w:rPr>
                                <w:rFonts w:ascii="Tahoma" w:hAnsi="Tahoma" w:cs="Tahoma"/>
                                <w:sz w:val="18"/>
                                <w:szCs w:val="18"/>
                              </w:rPr>
                            </w:pPr>
                            <w:r w:rsidRPr="001A7C1A">
                              <w:rPr>
                                <w:rFonts w:ascii="Tahoma" w:hAnsi="Tahoma" w:cs="Tahoma"/>
                                <w:sz w:val="18"/>
                                <w:szCs w:val="18"/>
                              </w:rPr>
                              <w:t>PROJECT MANAGER</w:t>
                            </w:r>
                            <w:r>
                              <w:rPr>
                                <w:rFonts w:ascii="Tahoma" w:hAnsi="Tahoma" w:cs="Tahoma"/>
                                <w:sz w:val="18"/>
                                <w:szCs w:val="18"/>
                              </w:rPr>
                              <w:t xml:space="preserve"> (P4) GOVERNANCE SPECIALIST / (acting) PROGRAMME ANALYST (NOB)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97B2" id="Flowchart: Process 3" o:spid="_x0000_s1029" type="#_x0000_t109" style="position:absolute;left:0;text-align:left;margin-left:0;margin-top:17.9pt;width:137.25pt;height:58.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" fillcolor="#00b050" strokecolor="#0070c0" strokeweight="1pt">
                <v:textbox>
                  <w:txbxContent>
                    <w:p w:rsidR="005B6055" w:rsidRPr="001A7C1A" w:rsidRDefault="005B6055" w:rsidP="005A6AC7">
                      <w:pPr>
                        <w:jc w:val="center"/>
                        <w:rPr>
                          <w:rFonts w:ascii="Tahoma" w:hAnsi="Tahoma" w:cs="Tahoma"/>
                          <w:sz w:val="18"/>
                          <w:szCs w:val="18"/>
                        </w:rPr>
                      </w:pPr>
                      <w:r w:rsidRPr="001A7C1A">
                        <w:rPr>
                          <w:rFonts w:ascii="Tahoma" w:hAnsi="Tahoma" w:cs="Tahoma"/>
                          <w:sz w:val="18"/>
                          <w:szCs w:val="18"/>
                        </w:rPr>
                        <w:t>PROJECT MANAGER</w:t>
                      </w:r>
                      <w:r>
                        <w:rPr>
                          <w:rFonts w:ascii="Tahoma" w:hAnsi="Tahoma" w:cs="Tahoma"/>
                          <w:sz w:val="18"/>
                          <w:szCs w:val="18"/>
                        </w:rPr>
                        <w:t xml:space="preserve"> (P4) GOVERNANCE SPECIALIST / (acting) PROGRAMME ANALYST (NOB)</w:t>
                      </w:r>
                    </w:p>
                  </w:txbxContent>
                </v:textbox>
                <w10:wrap anchorx="margin"/>
              </v:shape>
            </w:pict>
          </mc:Fallback>
        </mc:AlternateContent>
      </w: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71552" behindDoc="0" locked="0" layoutInCell="1" allowOverlap="1" wp14:anchorId="0C6AE314" wp14:editId="7B962AB7">
                <wp:simplePos x="0" y="0"/>
                <wp:positionH relativeFrom="column">
                  <wp:posOffset>3829050</wp:posOffset>
                </wp:positionH>
                <wp:positionV relativeFrom="paragraph">
                  <wp:posOffset>137160</wp:posOffset>
                </wp:positionV>
                <wp:extent cx="381000" cy="2540"/>
                <wp:effectExtent l="0" t="0" r="19050" b="35560"/>
                <wp:wrapNone/>
                <wp:docPr id="17" name="Straight Connector 17"/>
                <wp:cNvGraphicFramePr/>
                <a:graphic xmlns:a="http://schemas.openxmlformats.org/drawingml/2006/main">
                  <a:graphicData uri="http://schemas.microsoft.com/office/word/2010/wordprocessingShape">
                    <wps:wsp>
                      <wps:cNvCnPr/>
                      <wps:spPr>
                        <a:xfrm flipV="1">
                          <a:off x="0" y="0"/>
                          <a:ext cx="381000" cy="254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82A1BB" id="Straight Connector 1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8pt" to="3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" strokecolor="windowText" strokeweight="2pt">
                <v:stroke joinstyle="miter"/>
              </v:line>
            </w:pict>
          </mc:Fallback>
        </mc:AlternateContent>
      </w:r>
      <w:r w:rsidR="00DC3945" w:rsidRPr="00586505">
        <w:rPr>
          <w:rFonts w:cs="Times New Roman"/>
          <w:noProof/>
          <w:sz w:val="24"/>
          <w:szCs w:val="24"/>
        </w:rPr>
        <mc:AlternateContent>
          <mc:Choice Requires="wps">
            <w:drawing>
              <wp:anchor distT="0" distB="0" distL="114300" distR="114300" simplePos="0" relativeHeight="251665408" behindDoc="0" locked="0" layoutInCell="1" allowOverlap="1" wp14:anchorId="4AF19984" wp14:editId="319B35E5">
                <wp:simplePos x="0" y="0"/>
                <wp:positionH relativeFrom="margin">
                  <wp:posOffset>-19050</wp:posOffset>
                </wp:positionH>
                <wp:positionV relativeFrom="paragraph">
                  <wp:posOffset>259715</wp:posOffset>
                </wp:positionV>
                <wp:extent cx="1653540" cy="974785"/>
                <wp:effectExtent l="0" t="0" r="22860" b="15875"/>
                <wp:wrapNone/>
                <wp:docPr id="7" name="Flowchart: Process 7"/>
                <wp:cNvGraphicFramePr/>
                <a:graphic xmlns:a="http://schemas.openxmlformats.org/drawingml/2006/main">
                  <a:graphicData uri="http://schemas.microsoft.com/office/word/2010/wordprocessingShape">
                    <wps:wsp>
                      <wps:cNvSpPr/>
                      <wps:spPr>
                        <a:xfrm>
                          <a:off x="0" y="0"/>
                          <a:ext cx="1653540" cy="97478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Default="005B6055" w:rsidP="004E000A">
                            <w:pPr>
                              <w:rPr>
                                <w:rFonts w:ascii="Tahoma" w:hAnsi="Tahoma" w:cs="Tahoma"/>
                                <w:sz w:val="18"/>
                                <w:szCs w:val="18"/>
                              </w:rPr>
                            </w:pPr>
                            <w:r>
                              <w:rPr>
                                <w:rFonts w:ascii="Tahoma" w:hAnsi="Tahoma" w:cs="Tahoma"/>
                                <w:sz w:val="18"/>
                                <w:szCs w:val="18"/>
                              </w:rPr>
                              <w:t xml:space="preserve">SENIOR PEACE AND DEVELOPMENT ADVISOR (P5) </w:t>
                            </w:r>
                          </w:p>
                          <w:p w:rsidR="005B6055" w:rsidRPr="00105848" w:rsidRDefault="005B6055" w:rsidP="00FD321E">
                            <w:pPr>
                              <w:jc w:val="center"/>
                              <w:rPr>
                                <w:rFonts w:ascii="Tahoma" w:hAnsi="Tahoma" w:cs="Tahoma"/>
                                <w:i/>
                                <w:sz w:val="18"/>
                                <w:szCs w:val="18"/>
                              </w:rPr>
                            </w:pPr>
                            <w:r>
                              <w:rPr>
                                <w:rFonts w:ascii="Tahoma" w:hAnsi="Tahoma" w:cs="Tahoma"/>
                                <w:i/>
                                <w:sz w:val="18"/>
                                <w:szCs w:val="18"/>
                              </w:rPr>
                              <w:t xml:space="preserve">PROJECT </w:t>
                            </w:r>
                            <w:r w:rsidRPr="00105848">
                              <w:rPr>
                                <w:rFonts w:ascii="Tahoma" w:hAnsi="Tahoma" w:cs="Tahoma"/>
                                <w:i/>
                                <w:sz w:val="18"/>
                                <w:szCs w:val="18"/>
                              </w:rPr>
                              <w:t xml:space="preserve"> ADVISORY SUUPPORT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9984" id="Flowchart: Process 7" o:spid="_x0000_s1030" type="#_x0000_t109" style="position:absolute;left:0;text-align:left;margin-left:-1.5pt;margin-top:20.45pt;width:130.2pt;height:7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" fillcolor="#5b9bd5" strokecolor="#41719c" strokeweight="1pt">
                <v:textbox>
                  <w:txbxContent>
                    <w:p w:rsidR="005B6055" w:rsidRDefault="005B6055" w:rsidP="004E000A">
                      <w:pPr>
                        <w:rPr>
                          <w:rFonts w:ascii="Tahoma" w:hAnsi="Tahoma" w:cs="Tahoma"/>
                          <w:sz w:val="18"/>
                          <w:szCs w:val="18"/>
                        </w:rPr>
                      </w:pPr>
                      <w:r>
                        <w:rPr>
                          <w:rFonts w:ascii="Tahoma" w:hAnsi="Tahoma" w:cs="Tahoma"/>
                          <w:sz w:val="18"/>
                          <w:szCs w:val="18"/>
                        </w:rPr>
                        <w:t xml:space="preserve">SENIOR PEACE AND DEVELOPMENT ADVISOR (P5) </w:t>
                      </w:r>
                    </w:p>
                    <w:p w:rsidR="005B6055" w:rsidRPr="00105848" w:rsidRDefault="005B6055" w:rsidP="00FD321E">
                      <w:pPr>
                        <w:jc w:val="center"/>
                        <w:rPr>
                          <w:rFonts w:ascii="Tahoma" w:hAnsi="Tahoma" w:cs="Tahoma"/>
                          <w:i/>
                          <w:sz w:val="18"/>
                          <w:szCs w:val="18"/>
                        </w:rPr>
                      </w:pPr>
                      <w:r>
                        <w:rPr>
                          <w:rFonts w:ascii="Tahoma" w:hAnsi="Tahoma" w:cs="Tahoma"/>
                          <w:i/>
                          <w:sz w:val="18"/>
                          <w:szCs w:val="18"/>
                        </w:rPr>
                        <w:t xml:space="preserve">PROJECT </w:t>
                      </w:r>
                      <w:r w:rsidRPr="00105848">
                        <w:rPr>
                          <w:rFonts w:ascii="Tahoma" w:hAnsi="Tahoma" w:cs="Tahoma"/>
                          <w:i/>
                          <w:sz w:val="18"/>
                          <w:szCs w:val="18"/>
                        </w:rPr>
                        <w:t xml:space="preserve"> ADVISORY SUUPPORT</w:t>
                      </w:r>
                    </w:p>
                  </w:txbxContent>
                </v:textbox>
                <w10:wrap anchorx="margin"/>
              </v:shape>
            </w:pict>
          </mc:Fallback>
        </mc:AlternateContent>
      </w:r>
    </w:p>
    <w:p w:rsidR="00FD321E" w:rsidRPr="00586505" w:rsidRDefault="004E5928"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3360" behindDoc="0" locked="0" layoutInCell="1" allowOverlap="1" wp14:anchorId="2A6F5CF9" wp14:editId="0D4E7A93">
                <wp:simplePos x="0" y="0"/>
                <wp:positionH relativeFrom="margin">
                  <wp:posOffset>4391025</wp:posOffset>
                </wp:positionH>
                <wp:positionV relativeFrom="paragraph">
                  <wp:posOffset>154940</wp:posOffset>
                </wp:positionV>
                <wp:extent cx="1323975" cy="12573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323975" cy="12573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Pr="001A7C1A" w:rsidRDefault="005B6055" w:rsidP="00FD321E">
                            <w:pPr>
                              <w:jc w:val="center"/>
                              <w:rPr>
                                <w:rFonts w:ascii="Tahoma" w:hAnsi="Tahoma" w:cs="Tahoma"/>
                                <w:sz w:val="18"/>
                                <w:szCs w:val="18"/>
                              </w:rPr>
                            </w:pPr>
                            <w:r w:rsidRPr="001A7C1A">
                              <w:rPr>
                                <w:rFonts w:ascii="Tahoma" w:hAnsi="Tahoma" w:cs="Tahoma"/>
                                <w:sz w:val="18"/>
                                <w:szCs w:val="18"/>
                              </w:rPr>
                              <w:t>PROJECT SUPPORT</w:t>
                            </w:r>
                          </w:p>
                          <w:p w:rsidR="005B6055" w:rsidRDefault="005B6055" w:rsidP="00657348">
                            <w:pPr>
                              <w:jc w:val="center"/>
                              <w:rPr>
                                <w:rFonts w:ascii="Tahoma" w:hAnsi="Tahoma" w:cs="Tahoma"/>
                                <w:sz w:val="18"/>
                                <w:szCs w:val="18"/>
                              </w:rPr>
                            </w:pPr>
                            <w:r w:rsidRPr="001A7C1A">
                              <w:rPr>
                                <w:rFonts w:ascii="Tahoma" w:hAnsi="Tahoma" w:cs="Tahoma"/>
                                <w:sz w:val="18"/>
                                <w:szCs w:val="18"/>
                              </w:rPr>
                              <w:t>UNDP FIJI MCO</w:t>
                            </w:r>
                            <w:r>
                              <w:rPr>
                                <w:rFonts w:ascii="Tahoma" w:hAnsi="Tahoma" w:cs="Tahoma"/>
                                <w:sz w:val="18"/>
                                <w:szCs w:val="18"/>
                              </w:rPr>
                              <w:t xml:space="preserve"> &amp; </w:t>
                            </w:r>
                            <w:r w:rsidRPr="001A7C1A">
                              <w:rPr>
                                <w:rFonts w:ascii="Tahoma" w:hAnsi="Tahoma" w:cs="Tahoma"/>
                                <w:sz w:val="18"/>
                                <w:szCs w:val="18"/>
                              </w:rPr>
                              <w:t xml:space="preserve">UNDP PACIFIC CENTRE </w:t>
                            </w:r>
                          </w:p>
                          <w:p w:rsidR="005B6055" w:rsidRPr="001A7C1A" w:rsidRDefault="005B6055" w:rsidP="00657348">
                            <w:pPr>
                              <w:jc w:val="center"/>
                              <w:rPr>
                                <w:rFonts w:ascii="Tahoma" w:hAnsi="Tahoma" w:cs="Tahoma"/>
                                <w:sz w:val="18"/>
                                <w:szCs w:val="18"/>
                              </w:rPr>
                            </w:pPr>
                            <w:r>
                              <w:rPr>
                                <w:rFonts w:ascii="Tahoma" w:hAnsi="Tahoma" w:cs="Tahoma"/>
                                <w:sz w:val="18"/>
                                <w:szCs w:val="18"/>
                              </w:rPr>
                              <w:t>JOINT OPS CENTRE</w:t>
                            </w:r>
                            <w:r>
                              <w:rPr>
                                <w:rFonts w:ascii="Tahoma" w:hAnsi="Tahoma" w:cs="Tahoma"/>
                                <w:sz w:val="18"/>
                                <w:szCs w:val="18"/>
                              </w:rPr>
                              <w:br/>
                            </w:r>
                            <w:r w:rsidRPr="001A7C1A">
                              <w:rPr>
                                <w:rFonts w:ascii="Tahoma" w:hAnsi="Tahoma" w:cs="Tahoma"/>
                                <w:sz w:val="18"/>
                                <w:szCs w:val="18"/>
                              </w:rPr>
                              <w:t>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5CF9" id="Flowchart: Process 5" o:spid="_x0000_s1031" type="#_x0000_t109" style="position:absolute;left:0;text-align:left;margin-left:345.75pt;margin-top:12.2pt;width:104.25pt;height: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" fillcolor="#5b9bd5" strokecolor="#41719c" strokeweight="1pt">
                <v:textbox>
                  <w:txbxContent>
                    <w:p w:rsidR="005B6055" w:rsidRPr="001A7C1A" w:rsidRDefault="005B6055" w:rsidP="00FD321E">
                      <w:pPr>
                        <w:jc w:val="center"/>
                        <w:rPr>
                          <w:rFonts w:ascii="Tahoma" w:hAnsi="Tahoma" w:cs="Tahoma"/>
                          <w:sz w:val="18"/>
                          <w:szCs w:val="18"/>
                        </w:rPr>
                      </w:pPr>
                      <w:r w:rsidRPr="001A7C1A">
                        <w:rPr>
                          <w:rFonts w:ascii="Tahoma" w:hAnsi="Tahoma" w:cs="Tahoma"/>
                          <w:sz w:val="18"/>
                          <w:szCs w:val="18"/>
                        </w:rPr>
                        <w:t>PROJECT SUPPORT</w:t>
                      </w:r>
                    </w:p>
                    <w:p w:rsidR="005B6055" w:rsidRDefault="005B6055" w:rsidP="00657348">
                      <w:pPr>
                        <w:jc w:val="center"/>
                        <w:rPr>
                          <w:rFonts w:ascii="Tahoma" w:hAnsi="Tahoma" w:cs="Tahoma"/>
                          <w:sz w:val="18"/>
                          <w:szCs w:val="18"/>
                        </w:rPr>
                      </w:pPr>
                      <w:r w:rsidRPr="001A7C1A">
                        <w:rPr>
                          <w:rFonts w:ascii="Tahoma" w:hAnsi="Tahoma" w:cs="Tahoma"/>
                          <w:sz w:val="18"/>
                          <w:szCs w:val="18"/>
                        </w:rPr>
                        <w:t>UNDP FIJI MCO</w:t>
                      </w:r>
                      <w:r>
                        <w:rPr>
                          <w:rFonts w:ascii="Tahoma" w:hAnsi="Tahoma" w:cs="Tahoma"/>
                          <w:sz w:val="18"/>
                          <w:szCs w:val="18"/>
                        </w:rPr>
                        <w:t xml:space="preserve"> &amp; </w:t>
                      </w:r>
                      <w:r w:rsidRPr="001A7C1A">
                        <w:rPr>
                          <w:rFonts w:ascii="Tahoma" w:hAnsi="Tahoma" w:cs="Tahoma"/>
                          <w:sz w:val="18"/>
                          <w:szCs w:val="18"/>
                        </w:rPr>
                        <w:t xml:space="preserve">UNDP PACIFIC CENTRE </w:t>
                      </w:r>
                    </w:p>
                    <w:p w:rsidR="005B6055" w:rsidRPr="001A7C1A" w:rsidRDefault="005B6055" w:rsidP="00657348">
                      <w:pPr>
                        <w:jc w:val="center"/>
                        <w:rPr>
                          <w:rFonts w:ascii="Tahoma" w:hAnsi="Tahoma" w:cs="Tahoma"/>
                          <w:sz w:val="18"/>
                          <w:szCs w:val="18"/>
                        </w:rPr>
                      </w:pPr>
                      <w:r>
                        <w:rPr>
                          <w:rFonts w:ascii="Tahoma" w:hAnsi="Tahoma" w:cs="Tahoma"/>
                          <w:sz w:val="18"/>
                          <w:szCs w:val="18"/>
                        </w:rPr>
                        <w:t>JOINT OPS CENTRE</w:t>
                      </w:r>
                      <w:r>
                        <w:rPr>
                          <w:rFonts w:ascii="Tahoma" w:hAnsi="Tahoma" w:cs="Tahoma"/>
                          <w:sz w:val="18"/>
                          <w:szCs w:val="18"/>
                        </w:rPr>
                        <w:br/>
                      </w:r>
                      <w:r w:rsidRPr="001A7C1A">
                        <w:rPr>
                          <w:rFonts w:ascii="Tahoma" w:hAnsi="Tahoma" w:cs="Tahoma"/>
                          <w:sz w:val="18"/>
                          <w:szCs w:val="18"/>
                        </w:rPr>
                        <w:t>OPS</w:t>
                      </w:r>
                    </w:p>
                  </w:txbxContent>
                </v:textbox>
                <w10:wrap anchorx="margin"/>
              </v:shape>
            </w:pict>
          </mc:Fallback>
        </mc:AlternateContent>
      </w: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82816" behindDoc="0" locked="0" layoutInCell="1" allowOverlap="1" wp14:anchorId="16C12322" wp14:editId="0A6D9F01">
                <wp:simplePos x="0" y="0"/>
                <wp:positionH relativeFrom="column">
                  <wp:posOffset>3848100</wp:posOffset>
                </wp:positionH>
                <wp:positionV relativeFrom="paragraph">
                  <wp:posOffset>90170</wp:posOffset>
                </wp:positionV>
                <wp:extent cx="5238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238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8BBAF" id="Straight Connector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7.1pt" to="34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" strokecolor="windowText" strokeweight="2pt">
                <v:stroke joinstyle="miter"/>
              </v:line>
            </w:pict>
          </mc:Fallback>
        </mc:AlternateContent>
      </w:r>
      <w:r w:rsidRPr="00586505">
        <w:rPr>
          <w:rFonts w:cs="Times New Roman"/>
          <w:noProof/>
          <w:sz w:val="24"/>
          <w:szCs w:val="24"/>
        </w:rPr>
        <mc:AlternateContent>
          <mc:Choice Requires="wps">
            <w:drawing>
              <wp:anchor distT="0" distB="0" distL="114300" distR="114300" simplePos="0" relativeHeight="251680768" behindDoc="0" locked="0" layoutInCell="1" allowOverlap="1" wp14:anchorId="2A79A010" wp14:editId="16FE5038">
                <wp:simplePos x="0" y="0"/>
                <wp:positionH relativeFrom="column">
                  <wp:posOffset>1638935</wp:posOffset>
                </wp:positionH>
                <wp:positionV relativeFrom="paragraph">
                  <wp:posOffset>13970</wp:posOffset>
                </wp:positionV>
                <wp:extent cx="42799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4279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8B1A4"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1.1pt" to="16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" strokecolor="windowText" strokeweight="2pt">
                <v:stroke joinstyle="miter"/>
              </v:line>
            </w:pict>
          </mc:Fallback>
        </mc:AlternateContent>
      </w:r>
      <w:r w:rsidRPr="00586505">
        <w:rPr>
          <w:rFonts w:cs="Times New Roman"/>
          <w:noProof/>
          <w:sz w:val="24"/>
          <w:szCs w:val="24"/>
        </w:rPr>
        <mc:AlternateContent>
          <mc:Choice Requires="wps">
            <w:drawing>
              <wp:anchor distT="0" distB="0" distL="114300" distR="114300" simplePos="0" relativeHeight="251672576" behindDoc="0" locked="0" layoutInCell="1" allowOverlap="1" wp14:anchorId="355835FB" wp14:editId="141BBC85">
                <wp:simplePos x="0" y="0"/>
                <wp:positionH relativeFrom="column">
                  <wp:posOffset>2971800</wp:posOffset>
                </wp:positionH>
                <wp:positionV relativeFrom="paragraph">
                  <wp:posOffset>252095</wp:posOffset>
                </wp:positionV>
                <wp:extent cx="9525" cy="3333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33337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6DDA1"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9.85pt" to="234.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" strokecolor="windowText" strokeweight="2pt">
                <v:stroke joinstyle="miter"/>
              </v:line>
            </w:pict>
          </mc:Fallback>
        </mc:AlternateContent>
      </w:r>
    </w:p>
    <w:p w:rsidR="00FD321E" w:rsidRPr="00586505" w:rsidRDefault="00C175B8"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73600" behindDoc="0" locked="0" layoutInCell="1" allowOverlap="1" wp14:anchorId="071C0819" wp14:editId="596F4906">
                <wp:simplePos x="0" y="0"/>
                <wp:positionH relativeFrom="column">
                  <wp:posOffset>1638300</wp:posOffset>
                </wp:positionH>
                <wp:positionV relativeFrom="paragraph">
                  <wp:posOffset>5715</wp:posOffset>
                </wp:positionV>
                <wp:extent cx="485775" cy="76200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485775" cy="7620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CCE01"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45pt" to="167.2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" strokecolor="windowText" strokeweight="2pt">
                <v:stroke joinstyle="miter"/>
              </v:line>
            </w:pict>
          </mc:Fallback>
        </mc:AlternateContent>
      </w: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6432" behindDoc="0" locked="0" layoutInCell="1" allowOverlap="1" wp14:anchorId="1D514FE3" wp14:editId="53726FBC">
                <wp:simplePos x="0" y="0"/>
                <wp:positionH relativeFrom="margin">
                  <wp:posOffset>2095500</wp:posOffset>
                </wp:positionH>
                <wp:positionV relativeFrom="paragraph">
                  <wp:posOffset>109855</wp:posOffset>
                </wp:positionV>
                <wp:extent cx="1781175" cy="9525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781175" cy="9525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Pr="000E6F26" w:rsidRDefault="005B6055" w:rsidP="00FF41E3">
                            <w:pPr>
                              <w:jc w:val="center"/>
                              <w:rPr>
                                <w:rFonts w:ascii="Tahoma" w:hAnsi="Tahoma" w:cs="Tahoma"/>
                                <w:sz w:val="18"/>
                                <w:szCs w:val="18"/>
                              </w:rPr>
                            </w:pPr>
                            <w:r>
                              <w:rPr>
                                <w:rFonts w:ascii="Tahoma" w:hAnsi="Tahoma" w:cs="Tahoma"/>
                                <w:sz w:val="18"/>
                                <w:szCs w:val="18"/>
                              </w:rPr>
                              <w:t>PEACE &amp; DEVELOPMENT ASSISTANT (ICS-5)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4FE3" id="Flowchart: Process 8" o:spid="_x0000_s1032" type="#_x0000_t109" style="position:absolute;left:0;text-align:left;margin-left:165pt;margin-top:8.65pt;width:140.25pt;height: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" fillcolor="#5b9bd5" strokecolor="#41719c" strokeweight="1pt">
                <v:textbox>
                  <w:txbxContent>
                    <w:p w:rsidR="005B6055" w:rsidRPr="000E6F26" w:rsidRDefault="005B6055" w:rsidP="00FF41E3">
                      <w:pPr>
                        <w:jc w:val="center"/>
                        <w:rPr>
                          <w:rFonts w:ascii="Tahoma" w:hAnsi="Tahoma" w:cs="Tahoma"/>
                          <w:sz w:val="18"/>
                          <w:szCs w:val="18"/>
                        </w:rPr>
                      </w:pPr>
                      <w:r>
                        <w:rPr>
                          <w:rFonts w:ascii="Tahoma" w:hAnsi="Tahoma" w:cs="Tahoma"/>
                          <w:sz w:val="18"/>
                          <w:szCs w:val="18"/>
                        </w:rPr>
                        <w:t>PEACE &amp; DEVELOPMENT ASSISTANT (ICS-5)</w:t>
                      </w:r>
                    </w:p>
                  </w:txbxContent>
                </v:textbox>
                <w10:wrap anchorx="margin"/>
              </v:shape>
            </w:pict>
          </mc:Fallback>
        </mc:AlternateContent>
      </w:r>
    </w:p>
    <w:p w:rsidR="00FD321E" w:rsidRPr="00586505" w:rsidRDefault="005209CF" w:rsidP="00F916CA">
      <w:pPr>
        <w:spacing w:after="60" w:line="276" w:lineRule="auto"/>
        <w:jc w:val="both"/>
        <w:rPr>
          <w:rFonts w:cs="Times New Roman"/>
          <w:sz w:val="24"/>
          <w:szCs w:val="24"/>
        </w:rPr>
      </w:pPr>
      <w:r w:rsidRPr="00586505">
        <w:rPr>
          <w:rFonts w:cs="Times New Roman"/>
          <w:noProof/>
          <w:sz w:val="24"/>
          <w:szCs w:val="24"/>
        </w:rPr>
        <mc:AlternateContent>
          <mc:Choice Requires="wps">
            <w:drawing>
              <wp:anchor distT="0" distB="0" distL="114300" distR="114300" simplePos="0" relativeHeight="251667456" behindDoc="0" locked="0" layoutInCell="1" allowOverlap="1" wp14:anchorId="683568F2" wp14:editId="6407EA19">
                <wp:simplePos x="0" y="0"/>
                <wp:positionH relativeFrom="margin">
                  <wp:posOffset>346075</wp:posOffset>
                </wp:positionH>
                <wp:positionV relativeFrom="paragraph">
                  <wp:posOffset>194310</wp:posOffset>
                </wp:positionV>
                <wp:extent cx="1323975" cy="6953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323975" cy="6953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5B6055" w:rsidRPr="001A7C1A" w:rsidRDefault="005B6055" w:rsidP="00FD321E">
                            <w:pPr>
                              <w:jc w:val="center"/>
                              <w:rPr>
                                <w:rFonts w:ascii="Tahoma" w:hAnsi="Tahoma" w:cs="Tahoma"/>
                                <w:sz w:val="18"/>
                                <w:szCs w:val="18"/>
                              </w:rPr>
                            </w:pPr>
                            <w:r>
                              <w:rPr>
                                <w:rFonts w:ascii="Tahoma" w:hAnsi="Tahoma" w:cs="Tahoma"/>
                                <w:sz w:val="18"/>
                                <w:szCs w:val="18"/>
                              </w:rPr>
                              <w:t>EXPERTISE SHORT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68F2" id="Flowchart: Process 10" o:spid="_x0000_s1033" type="#_x0000_t109" style="position:absolute;left:0;text-align:left;margin-left:27.25pt;margin-top:15.3pt;width:104.25pt;height:5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" fillcolor="#5b9bd5" strokecolor="#41719c" strokeweight="1pt">
                <v:textbox>
                  <w:txbxContent>
                    <w:p w:rsidR="005B6055" w:rsidRPr="001A7C1A" w:rsidRDefault="005B6055" w:rsidP="00FD321E">
                      <w:pPr>
                        <w:jc w:val="center"/>
                        <w:rPr>
                          <w:rFonts w:ascii="Tahoma" w:hAnsi="Tahoma" w:cs="Tahoma"/>
                          <w:sz w:val="18"/>
                          <w:szCs w:val="18"/>
                        </w:rPr>
                      </w:pPr>
                      <w:r>
                        <w:rPr>
                          <w:rFonts w:ascii="Tahoma" w:hAnsi="Tahoma" w:cs="Tahoma"/>
                          <w:sz w:val="18"/>
                          <w:szCs w:val="18"/>
                        </w:rPr>
                        <w:t>EXPERTISE SHORT TERM</w:t>
                      </w:r>
                    </w:p>
                  </w:txbxContent>
                </v:textbox>
                <w10:wrap anchorx="margin"/>
              </v:shape>
            </w:pict>
          </mc:Fallback>
        </mc:AlternateContent>
      </w:r>
    </w:p>
    <w:p w:rsidR="00FD321E" w:rsidRPr="00586505" w:rsidRDefault="00FD321E" w:rsidP="00F916CA">
      <w:pPr>
        <w:spacing w:after="60" w:line="276" w:lineRule="auto"/>
        <w:jc w:val="both"/>
        <w:rPr>
          <w:rFonts w:cs="Times New Roman"/>
          <w:sz w:val="24"/>
          <w:szCs w:val="24"/>
        </w:rPr>
      </w:pPr>
    </w:p>
    <w:p w:rsidR="00FD321E" w:rsidRPr="00586505" w:rsidRDefault="00FD321E" w:rsidP="00F916CA">
      <w:pPr>
        <w:spacing w:after="60" w:line="276" w:lineRule="auto"/>
        <w:jc w:val="both"/>
        <w:rPr>
          <w:rFonts w:cs="Times New Roman"/>
          <w:sz w:val="24"/>
          <w:szCs w:val="24"/>
        </w:rPr>
      </w:pPr>
    </w:p>
    <w:p w:rsidR="00FD321E" w:rsidRPr="00586505" w:rsidRDefault="00FD321E" w:rsidP="00F916CA">
      <w:pPr>
        <w:spacing w:after="60" w:line="276" w:lineRule="auto"/>
        <w:jc w:val="both"/>
        <w:rPr>
          <w:rFonts w:cs="Times New Roman"/>
          <w:sz w:val="24"/>
          <w:szCs w:val="24"/>
        </w:rPr>
      </w:pPr>
    </w:p>
    <w:p w:rsidR="00FD321E" w:rsidRPr="00586505" w:rsidRDefault="00FD321E" w:rsidP="00F916CA">
      <w:pPr>
        <w:spacing w:after="60" w:line="276" w:lineRule="auto"/>
        <w:jc w:val="both"/>
        <w:rPr>
          <w:rFonts w:cs="Times New Roman"/>
          <w:sz w:val="24"/>
          <w:szCs w:val="24"/>
        </w:rPr>
      </w:pPr>
    </w:p>
    <w:p w:rsidR="00896146" w:rsidRDefault="00896146" w:rsidP="00317EBB">
      <w:pPr>
        <w:tabs>
          <w:tab w:val="left" w:pos="90"/>
        </w:tabs>
        <w:autoSpaceDE w:val="0"/>
        <w:autoSpaceDN w:val="0"/>
        <w:adjustRightInd w:val="0"/>
        <w:spacing w:after="0" w:line="276" w:lineRule="auto"/>
        <w:jc w:val="both"/>
        <w:rPr>
          <w:rFonts w:cs="Times New Roman"/>
          <w:b/>
          <w:sz w:val="24"/>
          <w:szCs w:val="24"/>
        </w:rPr>
      </w:pPr>
    </w:p>
    <w:p w:rsidR="00936C94" w:rsidRDefault="00936C94" w:rsidP="00317EBB">
      <w:pPr>
        <w:tabs>
          <w:tab w:val="left" w:pos="90"/>
        </w:tabs>
        <w:autoSpaceDE w:val="0"/>
        <w:autoSpaceDN w:val="0"/>
        <w:adjustRightInd w:val="0"/>
        <w:spacing w:after="0" w:line="276" w:lineRule="auto"/>
        <w:jc w:val="both"/>
        <w:rPr>
          <w:rFonts w:cs="Times New Roman"/>
          <w:b/>
          <w:sz w:val="24"/>
          <w:szCs w:val="24"/>
        </w:rPr>
      </w:pPr>
    </w:p>
    <w:p w:rsidR="00317EBB" w:rsidRDefault="00317EBB" w:rsidP="00317EBB">
      <w:pPr>
        <w:tabs>
          <w:tab w:val="left" w:pos="90"/>
        </w:tabs>
        <w:autoSpaceDE w:val="0"/>
        <w:autoSpaceDN w:val="0"/>
        <w:adjustRightInd w:val="0"/>
        <w:spacing w:after="0" w:line="276" w:lineRule="auto"/>
        <w:jc w:val="both"/>
        <w:rPr>
          <w:rFonts w:cs="Times New Roman"/>
          <w:b/>
          <w:sz w:val="24"/>
          <w:szCs w:val="24"/>
        </w:rPr>
      </w:pPr>
      <w:r>
        <w:rPr>
          <w:rFonts w:cs="Times New Roman"/>
          <w:b/>
          <w:sz w:val="24"/>
          <w:szCs w:val="24"/>
        </w:rPr>
        <w:t xml:space="preserve">Part V: MONITORING FRAMEWORK AND EVALUATION </w:t>
      </w:r>
    </w:p>
    <w:p w:rsidR="00317EBB" w:rsidRPr="00586505" w:rsidRDefault="00317EBB" w:rsidP="00F916CA">
      <w:pPr>
        <w:tabs>
          <w:tab w:val="left" w:pos="2637"/>
        </w:tabs>
        <w:spacing w:after="60" w:line="276" w:lineRule="auto"/>
        <w:jc w:val="both"/>
        <w:rPr>
          <w:rFonts w:cs="Times New Roman"/>
          <w:b/>
          <w:sz w:val="24"/>
          <w:szCs w:val="24"/>
        </w:rPr>
      </w:pPr>
    </w:p>
    <w:p w:rsidR="00FD321E" w:rsidRPr="00896146" w:rsidRDefault="00FD321E" w:rsidP="00F916CA">
      <w:pPr>
        <w:tabs>
          <w:tab w:val="left" w:pos="2637"/>
        </w:tabs>
        <w:spacing w:after="60" w:line="276" w:lineRule="auto"/>
        <w:jc w:val="both"/>
        <w:rPr>
          <w:rFonts w:cs="Times New Roman"/>
        </w:rPr>
      </w:pPr>
      <w:r w:rsidRPr="00896146">
        <w:rPr>
          <w:rFonts w:cs="Times New Roman"/>
        </w:rPr>
        <w:t xml:space="preserve">The project will be implemented in accordance </w:t>
      </w:r>
      <w:r w:rsidR="00CC5DDD" w:rsidRPr="00896146">
        <w:rPr>
          <w:rFonts w:cs="Times New Roman"/>
        </w:rPr>
        <w:t>with</w:t>
      </w:r>
      <w:r w:rsidRPr="00896146">
        <w:rPr>
          <w:rFonts w:cs="Times New Roman"/>
        </w:rPr>
        <w:t xml:space="preserve"> procedures outlined in the UNDP User Guid</w:t>
      </w:r>
      <w:r w:rsidR="0083596E" w:rsidRPr="00896146">
        <w:rPr>
          <w:rFonts w:cs="Times New Roman"/>
        </w:rPr>
        <w:t>e and will fully adopt the M&amp;E r</w:t>
      </w:r>
      <w:r w:rsidRPr="00896146">
        <w:rPr>
          <w:rFonts w:cs="Times New Roman"/>
        </w:rPr>
        <w:t xml:space="preserve">eporting framework of the UNDP Pacific Centre. </w:t>
      </w:r>
      <w:r w:rsidR="009127B1">
        <w:rPr>
          <w:rFonts w:cs="Times New Roman"/>
        </w:rPr>
        <w:t xml:space="preserve"> </w:t>
      </w:r>
      <w:r w:rsidR="0083596E" w:rsidRPr="00896146">
        <w:rPr>
          <w:rFonts w:cs="Times New Roman"/>
        </w:rPr>
        <w:t>The Results and Resources F</w:t>
      </w:r>
      <w:r w:rsidRPr="00896146">
        <w:rPr>
          <w:rFonts w:cs="Times New Roman"/>
        </w:rPr>
        <w:t xml:space="preserve">ramework and Annual Work Plan (AWP) </w:t>
      </w:r>
      <w:r w:rsidR="00C3003E" w:rsidRPr="00896146">
        <w:rPr>
          <w:rFonts w:cs="Times New Roman"/>
        </w:rPr>
        <w:t>(to be developed</w:t>
      </w:r>
      <w:r w:rsidR="009127B1">
        <w:rPr>
          <w:rFonts w:cs="Times New Roman"/>
        </w:rPr>
        <w:t xml:space="preserve"> for 2016</w:t>
      </w:r>
      <w:r w:rsidR="00C3003E" w:rsidRPr="00896146">
        <w:rPr>
          <w:rFonts w:cs="Times New Roman"/>
        </w:rPr>
        <w:t xml:space="preserve">) </w:t>
      </w:r>
      <w:r w:rsidRPr="00896146">
        <w:rPr>
          <w:rFonts w:cs="Times New Roman"/>
        </w:rPr>
        <w:t>incorporated into this project document will be the key reference material for performance monitoring and reporting. The project results will be properly tracked and its impact whether intended or unintended measured through a result-based plan. The indicators will be SMART, disaggregated by sex, location of beneficiaries, vulnerable and marginalized groups and it will be ensured that all M&amp;E actions are gender sensitive and human rights based.</w:t>
      </w:r>
      <w:r w:rsidR="00896146">
        <w:rPr>
          <w:rFonts w:cs="Times New Roman"/>
        </w:rPr>
        <w:t xml:space="preserve">  </w:t>
      </w:r>
      <w:r w:rsidRPr="00896146">
        <w:rPr>
          <w:rFonts w:cs="Times New Roman"/>
        </w:rPr>
        <w:t>Biannual progress report, technical and financial report based on the AWP and the ERP Atlas system will be prepared to draw feedback from stakeholders of the project.</w:t>
      </w:r>
    </w:p>
    <w:p w:rsidR="00322136" w:rsidRPr="00896146" w:rsidRDefault="00FD321E" w:rsidP="00F916CA">
      <w:pPr>
        <w:tabs>
          <w:tab w:val="left" w:pos="2637"/>
        </w:tabs>
        <w:spacing w:after="60" w:line="276" w:lineRule="auto"/>
        <w:jc w:val="both"/>
        <w:rPr>
          <w:rFonts w:cs="Times New Roman"/>
        </w:rPr>
      </w:pPr>
      <w:r w:rsidRPr="00896146">
        <w:rPr>
          <w:rFonts w:cs="Times New Roman"/>
        </w:rPr>
        <w:t xml:space="preserve">The </w:t>
      </w:r>
      <w:r w:rsidR="00C3003E" w:rsidRPr="00896146">
        <w:rPr>
          <w:rFonts w:cs="Times New Roman"/>
        </w:rPr>
        <w:t>P</w:t>
      </w:r>
      <w:r w:rsidRPr="00896146">
        <w:rPr>
          <w:rFonts w:cs="Times New Roman"/>
        </w:rPr>
        <w:t>SSG project is subject to independent evaluation in respect of its overall performan</w:t>
      </w:r>
      <w:r w:rsidR="007277A7" w:rsidRPr="00896146">
        <w:rPr>
          <w:rFonts w:cs="Times New Roman"/>
        </w:rPr>
        <w:t>ce and delivery related to the outcomes, o</w:t>
      </w:r>
      <w:r w:rsidRPr="00896146">
        <w:rPr>
          <w:rFonts w:cs="Times New Roman"/>
        </w:rPr>
        <w:t>utputs and activities. These will be evaluated</w:t>
      </w:r>
      <w:r w:rsidR="007277A7" w:rsidRPr="00896146">
        <w:rPr>
          <w:rFonts w:cs="Times New Roman"/>
        </w:rPr>
        <w:t xml:space="preserve"> at the r</w:t>
      </w:r>
      <w:r w:rsidRPr="00896146">
        <w:rPr>
          <w:rFonts w:cs="Times New Roman"/>
        </w:rPr>
        <w:t>egional and national levels. Lessons to be learned and best practices will be dis</w:t>
      </w:r>
      <w:r w:rsidR="007277A7" w:rsidRPr="00896146">
        <w:rPr>
          <w:rFonts w:cs="Times New Roman"/>
        </w:rPr>
        <w:t>cussed at the Project Advisory B</w:t>
      </w:r>
      <w:r w:rsidRPr="00896146">
        <w:rPr>
          <w:rFonts w:cs="Times New Roman"/>
        </w:rPr>
        <w:t xml:space="preserve">oard meetings which will be held biannually. </w:t>
      </w:r>
      <w:r w:rsidR="00896146">
        <w:rPr>
          <w:rFonts w:cs="Times New Roman"/>
        </w:rPr>
        <w:t xml:space="preserve"> </w:t>
      </w:r>
      <w:r w:rsidRPr="00896146">
        <w:rPr>
          <w:rFonts w:cs="Times New Roman"/>
        </w:rPr>
        <w:t>A final report will be prepared by the UNDP</w:t>
      </w:r>
      <w:r w:rsidR="007277A7" w:rsidRPr="00896146">
        <w:rPr>
          <w:rFonts w:cs="Times New Roman"/>
        </w:rPr>
        <w:t xml:space="preserve"> PC</w:t>
      </w:r>
      <w:r w:rsidRPr="00896146">
        <w:rPr>
          <w:rFonts w:cs="Times New Roman"/>
        </w:rPr>
        <w:t xml:space="preserve">, which </w:t>
      </w:r>
      <w:r w:rsidR="007277A7" w:rsidRPr="00896146">
        <w:rPr>
          <w:rFonts w:cs="Times New Roman"/>
        </w:rPr>
        <w:t>will include</w:t>
      </w:r>
      <w:r w:rsidRPr="00896146">
        <w:rPr>
          <w:rFonts w:cs="Times New Roman"/>
        </w:rPr>
        <w:t xml:space="preserve"> les</w:t>
      </w:r>
      <w:r w:rsidR="00CC5DDD" w:rsidRPr="00896146">
        <w:rPr>
          <w:rFonts w:cs="Times New Roman"/>
        </w:rPr>
        <w:t>sons learned and good practices w</w:t>
      </w:r>
      <w:r w:rsidRPr="00896146">
        <w:rPr>
          <w:rFonts w:cs="Times New Roman"/>
        </w:rPr>
        <w:t>ithin 3 months of the expiration of the project</w:t>
      </w:r>
      <w:r w:rsidR="00CC5DDD" w:rsidRPr="00896146">
        <w:rPr>
          <w:rFonts w:cs="Times New Roman"/>
        </w:rPr>
        <w:t>,</w:t>
      </w:r>
      <w:r w:rsidRPr="00896146">
        <w:rPr>
          <w:rFonts w:cs="Times New Roman"/>
        </w:rPr>
        <w:t xml:space="preserve"> and submitted for review and consideration</w:t>
      </w:r>
      <w:r w:rsidR="00BB0AFB" w:rsidRPr="00896146">
        <w:rPr>
          <w:rFonts w:cs="Times New Roman"/>
        </w:rPr>
        <w:t xml:space="preserve"> by the Project Advisory Board.</w:t>
      </w:r>
      <w:r w:rsidR="00322136" w:rsidRPr="00896146">
        <w:rPr>
          <w:rFonts w:cs="Times New Roman"/>
        </w:rPr>
        <w:t xml:space="preserve">   </w:t>
      </w:r>
      <w:r w:rsidR="00896146">
        <w:rPr>
          <w:rFonts w:cs="Times New Roman"/>
        </w:rPr>
        <w:t xml:space="preserve"> </w:t>
      </w:r>
      <w:r w:rsidR="00317EBB" w:rsidRPr="00896146">
        <w:rPr>
          <w:rFonts w:cs="Times New Roman"/>
        </w:rPr>
        <w:t>Evaluation and final reporting requirements will be adjusted accordingly if a Phase 2 of the project is supported.</w:t>
      </w:r>
    </w:p>
    <w:p w:rsidR="00BB0AFB" w:rsidRPr="00896146" w:rsidRDefault="00BB0AFB" w:rsidP="00F916CA">
      <w:pPr>
        <w:tabs>
          <w:tab w:val="left" w:pos="2637"/>
        </w:tabs>
        <w:spacing w:after="60" w:line="276" w:lineRule="auto"/>
        <w:jc w:val="both"/>
        <w:rPr>
          <w:rFonts w:cs="Times New Roman"/>
        </w:rPr>
      </w:pPr>
    </w:p>
    <w:p w:rsidR="00266B9E" w:rsidRPr="00EA55D7" w:rsidRDefault="00EA55D7" w:rsidP="00EA55D7">
      <w:pPr>
        <w:tabs>
          <w:tab w:val="left" w:pos="2637"/>
        </w:tabs>
        <w:spacing w:after="60" w:line="276" w:lineRule="auto"/>
        <w:jc w:val="both"/>
        <w:rPr>
          <w:rFonts w:cs="Times New Roman"/>
          <w:sz w:val="24"/>
          <w:szCs w:val="24"/>
        </w:rPr>
      </w:pPr>
      <w:r w:rsidRPr="00EA55D7">
        <w:rPr>
          <w:rFonts w:cs="Times New Roman"/>
          <w:b/>
          <w:sz w:val="24"/>
          <w:szCs w:val="24"/>
        </w:rPr>
        <w:t xml:space="preserve">Part VI: </w:t>
      </w:r>
      <w:r w:rsidR="00BB7C9D">
        <w:rPr>
          <w:rFonts w:cs="Times New Roman"/>
          <w:b/>
          <w:sz w:val="24"/>
          <w:szCs w:val="24"/>
        </w:rPr>
        <w:t xml:space="preserve">LEGAL CONTEXT – Regional Project </w:t>
      </w:r>
    </w:p>
    <w:p w:rsidR="00BB7C9D" w:rsidRDefault="00BB7C9D" w:rsidP="00BB7C9D">
      <w:pPr>
        <w:rPr>
          <w:lang w:val="en-GB"/>
        </w:rPr>
      </w:pPr>
    </w:p>
    <w:p w:rsidR="00BB7C9D" w:rsidRPr="00BB7C9D" w:rsidRDefault="00BB7C9D" w:rsidP="00197095">
      <w:pPr>
        <w:jc w:val="both"/>
        <w:rPr>
          <w:lang w:val="en-GB"/>
        </w:rPr>
      </w:pPr>
      <w:r w:rsidRPr="00BB7C9D">
        <w:rPr>
          <w:lang w:val="en-GB"/>
        </w:rPr>
        <w: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w:t>
      </w:r>
      <w:hyperlink r:id="rId9" w:history="1">
        <w:r w:rsidRPr="00BB7C9D">
          <w:rPr>
            <w:rStyle w:val="Hyperlink"/>
            <w:lang w:val="en-GB"/>
          </w:rPr>
          <w:t>Supplemental Provisions</w:t>
        </w:r>
      </w:hyperlink>
      <w:r w:rsidRPr="00BB7C9D">
        <w:rPr>
          <w:lang w:val="en-GB"/>
        </w:rPr>
        <w:t xml:space="preserve"> attached to the Project Document in cases where the recipient country has not signed an SBAA with UNDP, attached hereto and </w:t>
      </w:r>
      <w:r w:rsidR="00936C94">
        <w:rPr>
          <w:lang w:val="en-GB"/>
        </w:rPr>
        <w:t>forming an integral part hereof.</w:t>
      </w:r>
    </w:p>
    <w:p w:rsidR="00BB7C9D" w:rsidRPr="00BB7C9D" w:rsidRDefault="00BB7C9D" w:rsidP="00197095">
      <w:pPr>
        <w:jc w:val="both"/>
        <w:rPr>
          <w:lang w:val="en-GB"/>
        </w:rPr>
      </w:pPr>
      <w:r w:rsidRPr="00BB7C9D">
        <w:rPr>
          <w:lang w:val="en-GB"/>
        </w:rPr>
        <w:t xml:space="preserve">This project will be directly executed by the agency (UNDP Pacific Centre) (“Implementing Partner”) in accordance with UNDP’s financial regulations, rules, practices and procedures. </w:t>
      </w:r>
    </w:p>
    <w:p w:rsidR="00BB7C9D" w:rsidRPr="00BB7C9D" w:rsidRDefault="00BB7C9D" w:rsidP="00197095">
      <w:pPr>
        <w:jc w:val="both"/>
        <w:rPr>
          <w:lang w:val="en-GB"/>
        </w:rPr>
      </w:pPr>
      <w:r w:rsidRPr="00BB7C9D">
        <w:rPr>
          <w:lang w:val="en-GB"/>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BB7C9D" w:rsidRPr="00BB7C9D" w:rsidRDefault="00BB7C9D" w:rsidP="00197095">
      <w:pPr>
        <w:jc w:val="both"/>
        <w:rPr>
          <w:lang w:val="en-GB"/>
        </w:rPr>
      </w:pPr>
    </w:p>
    <w:p w:rsidR="00BB7C9D" w:rsidRPr="00BB7C9D" w:rsidRDefault="00BB7C9D" w:rsidP="00197095">
      <w:pPr>
        <w:jc w:val="both"/>
        <w:rPr>
          <w:lang w:val="en-GB"/>
        </w:rPr>
      </w:pPr>
      <w:r w:rsidRPr="00BB7C9D">
        <w:rPr>
          <w:lang w:val="en-GB"/>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0" w:history="1">
        <w:r w:rsidRPr="00BB7C9D">
          <w:rPr>
            <w:rStyle w:val="Hyperlink"/>
            <w:lang w:val="en-GB"/>
          </w:rPr>
          <w:t>http://www.un.org/sc/committees/1267/aq_sanctions_list.shtml</w:t>
        </w:r>
      </w:hyperlink>
      <w:r w:rsidRPr="00BB7C9D">
        <w:rPr>
          <w:color w:val="000080"/>
          <w:lang w:val="en-GB"/>
        </w:rPr>
        <w:t xml:space="preserve">. </w:t>
      </w:r>
      <w:r w:rsidRPr="00BB7C9D">
        <w:rPr>
          <w:lang w:val="en-GB"/>
        </w:rPr>
        <w:t xml:space="preserve">This provision must be included in all sub-contracts or sub-agreements entered into under this Project Document. </w:t>
      </w:r>
    </w:p>
    <w:p w:rsidR="00BB7C9D" w:rsidRDefault="00BB7C9D" w:rsidP="00BB7C9D">
      <w:pPr>
        <w:rPr>
          <w:rFonts w:ascii="Calibri" w:hAnsi="Calibri"/>
          <w:color w:val="1F497D"/>
          <w:lang w:val="en-GB"/>
        </w:rPr>
      </w:pPr>
    </w:p>
    <w:p w:rsidR="00B2529D" w:rsidRPr="00197095" w:rsidRDefault="00B2529D" w:rsidP="00F916CA">
      <w:pPr>
        <w:pStyle w:val="Heading1"/>
        <w:spacing w:line="276" w:lineRule="auto"/>
        <w:rPr>
          <w:rStyle w:val="IntenseEmphasis"/>
          <w:rFonts w:asciiTheme="minorHAnsi" w:hAnsiTheme="minorHAnsi"/>
          <w:b/>
          <w:i w:val="0"/>
          <w:sz w:val="20"/>
          <w:szCs w:val="20"/>
          <w:lang w:val="en-GB"/>
        </w:rPr>
        <w:sectPr w:rsidR="00B2529D" w:rsidRPr="00197095">
          <w:footerReference w:type="default" r:id="rId11"/>
          <w:pgSz w:w="12240" w:h="15840"/>
          <w:pgMar w:top="1440" w:right="1440" w:bottom="1440" w:left="1440" w:header="720" w:footer="720" w:gutter="0"/>
          <w:cols w:space="720"/>
          <w:docGrid w:linePitch="360"/>
        </w:sectPr>
      </w:pPr>
    </w:p>
    <w:tbl>
      <w:tblPr>
        <w:tblStyle w:val="TableGrid"/>
        <w:tblW w:w="13998" w:type="dxa"/>
        <w:tblLayout w:type="fixed"/>
        <w:tblLook w:val="04A0" w:firstRow="1" w:lastRow="0" w:firstColumn="1" w:lastColumn="0" w:noHBand="0" w:noVBand="1"/>
      </w:tblPr>
      <w:tblGrid>
        <w:gridCol w:w="1980"/>
        <w:gridCol w:w="2410"/>
        <w:gridCol w:w="2976"/>
        <w:gridCol w:w="2127"/>
        <w:gridCol w:w="2409"/>
        <w:gridCol w:w="1048"/>
        <w:gridCol w:w="1048"/>
      </w:tblGrid>
      <w:tr w:rsidR="003532B2" w:rsidRPr="00FB41B3" w:rsidTr="00D900A8">
        <w:tc>
          <w:tcPr>
            <w:tcW w:w="13998" w:type="dxa"/>
            <w:gridSpan w:val="7"/>
          </w:tcPr>
          <w:p w:rsidR="003532B2" w:rsidRPr="004E000A" w:rsidRDefault="003532B2" w:rsidP="00F916CA">
            <w:pPr>
              <w:pStyle w:val="Heading1"/>
              <w:spacing w:line="276" w:lineRule="auto"/>
              <w:outlineLvl w:val="0"/>
              <w:rPr>
                <w:rStyle w:val="IntenseEmphasis"/>
                <w:rFonts w:asciiTheme="minorHAnsi" w:hAnsiTheme="minorHAnsi"/>
                <w:b/>
                <w:i w:val="0"/>
                <w:sz w:val="24"/>
                <w:szCs w:val="24"/>
                <w:lang w:val="en-GB"/>
              </w:rPr>
            </w:pPr>
            <w:r w:rsidRPr="004E000A">
              <w:rPr>
                <w:rStyle w:val="IntenseEmphasis"/>
                <w:rFonts w:asciiTheme="minorHAnsi" w:hAnsiTheme="minorHAnsi"/>
                <w:i w:val="0"/>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 I: RESULTS AND RESOURCE FRAMEWORK (RRF)</w:t>
            </w:r>
          </w:p>
        </w:tc>
      </w:tr>
      <w:tr w:rsidR="003532B2" w:rsidRPr="00E114C0" w:rsidTr="00D900A8">
        <w:tc>
          <w:tcPr>
            <w:tcW w:w="13998" w:type="dxa"/>
            <w:gridSpan w:val="7"/>
            <w:shd w:val="clear" w:color="auto" w:fill="E6E6E6" w:themeFill="accent4" w:themeFillTint="33"/>
          </w:tcPr>
          <w:p w:rsidR="003532B2" w:rsidRDefault="003532B2" w:rsidP="003A300A">
            <w:pPr>
              <w:rPr>
                <w:b/>
              </w:rPr>
            </w:pPr>
            <w:r>
              <w:rPr>
                <w:b/>
              </w:rPr>
              <w:t>Intended Output</w:t>
            </w:r>
            <w:r w:rsidRPr="00D4010B">
              <w:rPr>
                <w:b/>
              </w:rPr>
              <w:t xml:space="preserve"> </w:t>
            </w:r>
            <w:r>
              <w:rPr>
                <w:b/>
              </w:rPr>
              <w:t xml:space="preserve">and result </w:t>
            </w:r>
            <w:r w:rsidRPr="00D4010B">
              <w:rPr>
                <w:b/>
              </w:rPr>
              <w:t>as stated in the</w:t>
            </w:r>
            <w:r>
              <w:rPr>
                <w:b/>
              </w:rPr>
              <w:t xml:space="preserve"> UNDP Pacific Centre Project Document 2014 – 2017</w:t>
            </w:r>
            <w:r w:rsidRPr="00D4010B">
              <w:rPr>
                <w:b/>
              </w:rPr>
              <w:t xml:space="preserve">: </w:t>
            </w:r>
          </w:p>
          <w:p w:rsidR="003532B2" w:rsidRDefault="003532B2" w:rsidP="003A300A">
            <w:pPr>
              <w:rPr>
                <w:b/>
              </w:rPr>
            </w:pPr>
          </w:p>
          <w:p w:rsidR="003532B2" w:rsidRPr="004E000A" w:rsidRDefault="003532B2" w:rsidP="004E000A">
            <w:pPr>
              <w:pStyle w:val="ListParagraph"/>
              <w:numPr>
                <w:ilvl w:val="0"/>
                <w:numId w:val="42"/>
              </w:numPr>
              <w:rPr>
                <w:b/>
              </w:rPr>
            </w:pPr>
            <w:r>
              <w:t>Output 2.2: Rule of law institutions strengthened to promote access to justice and legal reform to fight discrimination and address emerging issues; Result 2.2.B: Regional policy dialogue and South-South exchange on human rights issues, role of civil society and practical application of the Regional Human Security Framework and Regional Action Plan for Women Peace and Security.</w:t>
            </w:r>
          </w:p>
          <w:p w:rsidR="003532B2" w:rsidRPr="004E000A" w:rsidRDefault="003532B2" w:rsidP="004E000A">
            <w:pPr>
              <w:pStyle w:val="ListParagraph"/>
              <w:numPr>
                <w:ilvl w:val="0"/>
                <w:numId w:val="42"/>
              </w:numPr>
              <w:rPr>
                <w:b/>
              </w:rPr>
            </w:pPr>
            <w:r>
              <w:t>Output 3.3: Mechanisms enabled for consensus building around contested priorities and for addressing specific tensions through inclusive and peaceful processes; Result 3.3.A: National policy frameworks that are informed by the Regional Security Framework for Conflict Prevention are being implemented; Result 3.3.B: Support women’s improved participation and leadership in peace-building processes and decision-making forums.</w:t>
            </w:r>
          </w:p>
          <w:p w:rsidR="003532B2" w:rsidRPr="004E000A" w:rsidRDefault="003532B2" w:rsidP="002261C3">
            <w:pPr>
              <w:tabs>
                <w:tab w:val="left" w:pos="4080"/>
              </w:tabs>
              <w:spacing w:after="60" w:line="276" w:lineRule="auto"/>
              <w:jc w:val="both"/>
              <w:rPr>
                <w:rFonts w:eastAsia="Times New Roman" w:cs="Times New Roman"/>
                <w:color w:val="000000"/>
                <w:sz w:val="24"/>
                <w:szCs w:val="24"/>
                <w:lang w:val="en-GB"/>
              </w:rPr>
            </w:pPr>
          </w:p>
        </w:tc>
      </w:tr>
      <w:tr w:rsidR="003532B2" w:rsidRPr="00E114C0" w:rsidTr="00D900A8">
        <w:tc>
          <w:tcPr>
            <w:tcW w:w="13998" w:type="dxa"/>
            <w:gridSpan w:val="7"/>
            <w:shd w:val="clear" w:color="auto" w:fill="E6E6E6" w:themeFill="accent4" w:themeFillTint="33"/>
          </w:tcPr>
          <w:p w:rsidR="003532B2" w:rsidRDefault="003532B2" w:rsidP="003A300A">
            <w:pPr>
              <w:rPr>
                <w:b/>
              </w:rPr>
            </w:pPr>
            <w:r w:rsidRPr="008C7FF5">
              <w:rPr>
                <w:b/>
              </w:rPr>
              <w:t xml:space="preserve">Related Output Indicators as stated in the UNDP Pacific Centre Project Document 2014 – 2017 </w:t>
            </w:r>
            <w:r w:rsidRPr="003C3260">
              <w:rPr>
                <w:b/>
              </w:rPr>
              <w:t>Results and Resources Framework, including baseline and targets:</w:t>
            </w:r>
          </w:p>
          <w:p w:rsidR="003532B2" w:rsidRPr="008C7FF5" w:rsidRDefault="003532B2" w:rsidP="003A300A">
            <w:pPr>
              <w:rPr>
                <w:b/>
              </w:rPr>
            </w:pPr>
          </w:p>
          <w:p w:rsidR="003532B2" w:rsidRPr="004E000A" w:rsidRDefault="003532B2" w:rsidP="004E000A">
            <w:pPr>
              <w:pStyle w:val="ListParagraph"/>
              <w:numPr>
                <w:ilvl w:val="0"/>
                <w:numId w:val="41"/>
              </w:numPr>
              <w:tabs>
                <w:tab w:val="left" w:pos="4080"/>
              </w:tabs>
              <w:spacing w:after="60" w:line="276" w:lineRule="auto"/>
              <w:jc w:val="both"/>
              <w:rPr>
                <w:rFonts w:eastAsia="Times New Roman" w:cs="Times New Roman"/>
                <w:color w:val="000000"/>
                <w:lang w:val="en-GB"/>
              </w:rPr>
            </w:pPr>
            <w:r w:rsidRPr="004E000A">
              <w:rPr>
                <w:rFonts w:eastAsia="Times New Roman" w:cs="Times New Roman"/>
                <w:color w:val="000000"/>
                <w:lang w:val="en-GB"/>
              </w:rPr>
              <w:t>Output Indicator (2.2.3): Degree to which the Regional Action Plan for Women Peace and Security is integrated into national plans and strategic security and development frameworks, Baseline: 0, Target: 3</w:t>
            </w:r>
          </w:p>
          <w:p w:rsidR="003532B2" w:rsidRPr="004E000A" w:rsidRDefault="003532B2" w:rsidP="004E000A">
            <w:pPr>
              <w:pStyle w:val="ListParagraph"/>
              <w:numPr>
                <w:ilvl w:val="0"/>
                <w:numId w:val="41"/>
              </w:numPr>
              <w:tabs>
                <w:tab w:val="left" w:pos="4080"/>
              </w:tabs>
              <w:spacing w:after="60" w:line="276" w:lineRule="auto"/>
              <w:jc w:val="both"/>
              <w:rPr>
                <w:rFonts w:eastAsia="Times New Roman" w:cs="Times New Roman"/>
                <w:color w:val="000000"/>
                <w:lang w:val="en-GB"/>
              </w:rPr>
            </w:pPr>
            <w:r w:rsidRPr="004E000A">
              <w:rPr>
                <w:rFonts w:eastAsia="Times New Roman" w:cs="Times New Roman"/>
                <w:color w:val="000000"/>
                <w:lang w:val="en-GB"/>
              </w:rPr>
              <w:t>Output Indicator (2.2.4): Degree to which the regional human security framework is utilized as a guide for security and development interventions by Pacific countries, Baseline: 0, Target: 1</w:t>
            </w:r>
          </w:p>
          <w:p w:rsidR="003532B2" w:rsidRPr="004E000A" w:rsidRDefault="003532B2" w:rsidP="004E000A">
            <w:pPr>
              <w:pStyle w:val="ListParagraph"/>
              <w:numPr>
                <w:ilvl w:val="0"/>
                <w:numId w:val="41"/>
              </w:numPr>
              <w:tabs>
                <w:tab w:val="left" w:pos="4080"/>
              </w:tabs>
              <w:spacing w:after="60" w:line="276" w:lineRule="auto"/>
              <w:jc w:val="both"/>
              <w:rPr>
                <w:rFonts w:eastAsia="Times New Roman" w:cs="Times New Roman"/>
                <w:color w:val="000000"/>
                <w:lang w:val="en-GB"/>
              </w:rPr>
            </w:pPr>
            <w:r w:rsidRPr="004E000A">
              <w:rPr>
                <w:rFonts w:eastAsia="Times New Roman" w:cs="Times New Roman"/>
                <w:color w:val="000000"/>
                <w:lang w:val="en-GB"/>
              </w:rPr>
              <w:t>Output Indicator (3.3.1): Number of countries in which policy frameworks and institutional mechanisms for consensus building and peaceful management of conflict and tensions are informed by women’ s participation and contributions, Baseline: 0, Target: 2 (Also IRRF &amp; SP output indicator 5.5.2)</w:t>
            </w:r>
          </w:p>
          <w:p w:rsidR="003532B2" w:rsidRPr="004E000A" w:rsidRDefault="003532B2" w:rsidP="004E000A">
            <w:pPr>
              <w:pStyle w:val="ListParagraph"/>
              <w:numPr>
                <w:ilvl w:val="0"/>
                <w:numId w:val="41"/>
              </w:numPr>
              <w:tabs>
                <w:tab w:val="left" w:pos="4080"/>
              </w:tabs>
              <w:spacing w:after="60" w:line="276" w:lineRule="auto"/>
              <w:jc w:val="both"/>
              <w:rPr>
                <w:rFonts w:eastAsia="Times New Roman" w:cs="Times New Roman"/>
                <w:color w:val="000000"/>
                <w:lang w:val="en-GB"/>
              </w:rPr>
            </w:pPr>
            <w:r w:rsidRPr="004E000A">
              <w:rPr>
                <w:rFonts w:eastAsia="Times New Roman" w:cs="Times New Roman"/>
                <w:color w:val="000000"/>
                <w:lang w:val="en-GB"/>
              </w:rPr>
              <w:t>Output Indicator (3.3.2): Number of countries that have policies and frameworks in support of the women, peace and security agenda, Baseline: 0, Target: 2</w:t>
            </w:r>
          </w:p>
          <w:p w:rsidR="003532B2" w:rsidRDefault="003532B2" w:rsidP="004E000A">
            <w:pPr>
              <w:pStyle w:val="ListParagraph"/>
              <w:numPr>
                <w:ilvl w:val="0"/>
                <w:numId w:val="41"/>
              </w:numPr>
              <w:tabs>
                <w:tab w:val="left" w:pos="4080"/>
              </w:tabs>
              <w:spacing w:after="60" w:line="276" w:lineRule="auto"/>
              <w:jc w:val="both"/>
              <w:rPr>
                <w:rFonts w:eastAsia="Times New Roman" w:cs="Times New Roman"/>
                <w:color w:val="000000"/>
                <w:lang w:val="en-GB"/>
              </w:rPr>
            </w:pPr>
            <w:r w:rsidRPr="004E000A">
              <w:rPr>
                <w:rFonts w:eastAsia="Times New Roman" w:cs="Times New Roman"/>
                <w:color w:val="000000"/>
                <w:lang w:val="en-GB"/>
              </w:rPr>
              <w:t>Output Indicator from IRRF &amp; SP 3.5: 3.5.1: Number of countries with functioning security sector governance and oversight processes and / or mechanisms (disaggregated by those which are gender sensitive); 3.5.2: Number of evidence-based security strategies in operation for reducing armed violence and / or control of small arms.</w:t>
            </w:r>
          </w:p>
          <w:p w:rsidR="003532B2" w:rsidRPr="004E000A" w:rsidRDefault="003532B2" w:rsidP="004E000A">
            <w:pPr>
              <w:pStyle w:val="ListParagraph"/>
              <w:tabs>
                <w:tab w:val="left" w:pos="4080"/>
              </w:tabs>
              <w:spacing w:after="60" w:line="276" w:lineRule="auto"/>
              <w:jc w:val="both"/>
              <w:rPr>
                <w:rFonts w:eastAsia="Times New Roman" w:cs="Times New Roman"/>
                <w:color w:val="000000"/>
                <w:lang w:val="en-GB"/>
              </w:rPr>
            </w:pPr>
          </w:p>
        </w:tc>
      </w:tr>
      <w:tr w:rsidR="003532B2" w:rsidRPr="00E114C0" w:rsidTr="00D900A8">
        <w:tc>
          <w:tcPr>
            <w:tcW w:w="13998" w:type="dxa"/>
            <w:gridSpan w:val="7"/>
            <w:shd w:val="clear" w:color="auto" w:fill="E6E6E6" w:themeFill="accent4" w:themeFillTint="33"/>
          </w:tcPr>
          <w:p w:rsidR="003532B2" w:rsidRDefault="003532B2" w:rsidP="002261C3">
            <w:pPr>
              <w:tabs>
                <w:tab w:val="left" w:pos="4080"/>
              </w:tabs>
              <w:spacing w:after="60" w:line="276" w:lineRule="auto"/>
              <w:jc w:val="both"/>
              <w:rPr>
                <w:b/>
              </w:rPr>
            </w:pPr>
            <w:r w:rsidRPr="00D4010B">
              <w:rPr>
                <w:b/>
              </w:rPr>
              <w:t xml:space="preserve">Applicable </w:t>
            </w:r>
            <w:r>
              <w:rPr>
                <w:b/>
              </w:rPr>
              <w:t>Key Result Areas from 2014-17 Strategic Plan</w:t>
            </w:r>
            <w:r w:rsidRPr="00D4010B">
              <w:rPr>
                <w:b/>
              </w:rPr>
              <w:t xml:space="preserve">:  </w:t>
            </w:r>
          </w:p>
          <w:p w:rsidR="003532B2" w:rsidRPr="00936C94" w:rsidRDefault="003532B2" w:rsidP="00936C94">
            <w:pPr>
              <w:pStyle w:val="ListParagraph"/>
              <w:numPr>
                <w:ilvl w:val="0"/>
                <w:numId w:val="46"/>
              </w:numPr>
              <w:tabs>
                <w:tab w:val="left" w:pos="4080"/>
              </w:tabs>
              <w:spacing w:after="60" w:line="276" w:lineRule="auto"/>
              <w:jc w:val="both"/>
              <w:rPr>
                <w:rFonts w:eastAsia="Times New Roman" w:cs="Times New Roman"/>
                <w:b/>
                <w:color w:val="000000"/>
                <w:sz w:val="24"/>
                <w:szCs w:val="24"/>
                <w:lang w:val="en-GB"/>
              </w:rPr>
            </w:pPr>
            <w:r w:rsidRPr="004E000A">
              <w:t xml:space="preserve">Outcome 2: Citizen expectations for voice, development, the rule of law and accountability are met by stronger systems of democratic governance.   Outcome 3: Countries have strengthened institutions to progressively deliver universal access to basic services.  </w:t>
            </w:r>
          </w:p>
          <w:p w:rsidR="003532B2" w:rsidRPr="00936C94" w:rsidRDefault="003532B2" w:rsidP="00936C94">
            <w:pPr>
              <w:pStyle w:val="ListParagraph"/>
              <w:numPr>
                <w:ilvl w:val="0"/>
                <w:numId w:val="46"/>
              </w:numPr>
              <w:tabs>
                <w:tab w:val="left" w:pos="4080"/>
              </w:tabs>
              <w:spacing w:after="60" w:line="276" w:lineRule="auto"/>
              <w:jc w:val="both"/>
              <w:rPr>
                <w:rFonts w:eastAsia="Times New Roman" w:cs="Times New Roman"/>
                <w:b/>
                <w:color w:val="000000"/>
                <w:sz w:val="24"/>
                <w:szCs w:val="24"/>
                <w:lang w:val="en-GB"/>
              </w:rPr>
            </w:pPr>
            <w:r w:rsidRPr="004E000A">
              <w:t>Outcome 5: Countries are able to reduce the likelihood of conflict and lower risk of natural disasters, including from climate change.</w:t>
            </w:r>
          </w:p>
        </w:tc>
      </w:tr>
      <w:tr w:rsidR="003532B2" w:rsidRPr="00E114C0" w:rsidTr="00D900A8">
        <w:tc>
          <w:tcPr>
            <w:tcW w:w="13998" w:type="dxa"/>
            <w:gridSpan w:val="7"/>
            <w:shd w:val="clear" w:color="auto" w:fill="E6E6E6" w:themeFill="accent4" w:themeFillTint="33"/>
          </w:tcPr>
          <w:p w:rsidR="003532B2" w:rsidRPr="003A300A" w:rsidRDefault="003532B2" w:rsidP="002261C3">
            <w:pPr>
              <w:tabs>
                <w:tab w:val="left" w:pos="4080"/>
              </w:tabs>
              <w:spacing w:after="60" w:line="276" w:lineRule="auto"/>
              <w:jc w:val="both"/>
              <w:rPr>
                <w:rFonts w:eastAsia="Times New Roman" w:cs="Times New Roman"/>
                <w:b/>
                <w:color w:val="000000"/>
                <w:sz w:val="24"/>
                <w:szCs w:val="24"/>
                <w:lang w:val="en-GB"/>
              </w:rPr>
            </w:pPr>
            <w:r w:rsidRPr="00D4010B">
              <w:rPr>
                <w:b/>
              </w:rPr>
              <w:t>Partnership Strategy</w:t>
            </w:r>
            <w:r>
              <w:rPr>
                <w:b/>
              </w:rPr>
              <w:t xml:space="preserve">: </w:t>
            </w:r>
            <w:r>
              <w:rPr>
                <w:rFonts w:cs="Times New Roman"/>
              </w:rPr>
              <w:t>UNDP (Pacific Centre and COs) and the Pacific Islands Forum Secretariat in partnership with a range of other relevant UN agencies, DPKO, regional organizations and NGOs,</w:t>
            </w:r>
          </w:p>
        </w:tc>
      </w:tr>
      <w:tr w:rsidR="003532B2" w:rsidRPr="00E114C0" w:rsidTr="00D900A8">
        <w:tc>
          <w:tcPr>
            <w:tcW w:w="13998" w:type="dxa"/>
            <w:gridSpan w:val="7"/>
            <w:shd w:val="clear" w:color="auto" w:fill="E6E6E6" w:themeFill="accent4" w:themeFillTint="33"/>
          </w:tcPr>
          <w:p w:rsidR="003532B2" w:rsidRPr="003A300A" w:rsidRDefault="003532B2" w:rsidP="002261C3">
            <w:pPr>
              <w:tabs>
                <w:tab w:val="left" w:pos="4080"/>
              </w:tabs>
              <w:spacing w:after="60" w:line="276" w:lineRule="auto"/>
              <w:jc w:val="both"/>
              <w:rPr>
                <w:rFonts w:eastAsia="Times New Roman" w:cs="Times New Roman"/>
                <w:b/>
                <w:color w:val="000000"/>
                <w:sz w:val="24"/>
                <w:szCs w:val="24"/>
                <w:lang w:val="en-GB"/>
              </w:rPr>
            </w:pPr>
            <w:r w:rsidRPr="00D4010B">
              <w:rPr>
                <w:b/>
              </w:rPr>
              <w:t>Project title and ID (ATLAS Award ID):</w:t>
            </w:r>
            <w:r>
              <w:rPr>
                <w:b/>
              </w:rPr>
              <w:t xml:space="preserve"> </w:t>
            </w:r>
            <w:r w:rsidRPr="004E000A">
              <w:t xml:space="preserve">PACIFIC SECURITY SECTOR GOVERNANCE (PSSG) PROJECT (PHASE 1) and </w:t>
            </w:r>
            <w:r w:rsidRPr="00EE5CC9">
              <w:rPr>
                <w:highlight w:val="yellow"/>
              </w:rPr>
              <w:t>ATLAS Award ID (</w:t>
            </w:r>
            <w:r w:rsidRPr="00EE5CC9">
              <w:rPr>
                <w:i/>
                <w:highlight w:val="yellow"/>
              </w:rPr>
              <w:t>tba</w:t>
            </w:r>
            <w:r w:rsidRPr="00EE5CC9">
              <w:rPr>
                <w:highlight w:val="yellow"/>
              </w:rPr>
              <w:t>)</w:t>
            </w:r>
          </w:p>
        </w:tc>
      </w:tr>
      <w:tr w:rsidR="003532B2" w:rsidRPr="00E114C0" w:rsidTr="00D900A8">
        <w:tc>
          <w:tcPr>
            <w:tcW w:w="1980" w:type="dxa"/>
            <w:shd w:val="clear" w:color="auto" w:fill="E6E6E6" w:themeFill="accent4" w:themeFillTint="33"/>
          </w:tcPr>
          <w:p w:rsidR="003532B2" w:rsidRPr="00E114C0" w:rsidRDefault="003532B2" w:rsidP="004E000A">
            <w:pPr>
              <w:spacing w:line="276" w:lineRule="auto"/>
              <w:rPr>
                <w:rFonts w:cs="Tahoma"/>
                <w:b/>
                <w:sz w:val="24"/>
                <w:szCs w:val="24"/>
                <w:lang w:val="en-GB"/>
              </w:rPr>
            </w:pPr>
            <w:r>
              <w:rPr>
                <w:rFonts w:cs="Tahoma"/>
                <w:b/>
                <w:sz w:val="24"/>
                <w:szCs w:val="24"/>
                <w:lang w:val="en-GB"/>
              </w:rPr>
              <w:t xml:space="preserve">Project </w:t>
            </w:r>
            <w:r w:rsidRPr="00E114C0">
              <w:rPr>
                <w:rFonts w:cs="Tahoma"/>
                <w:b/>
                <w:sz w:val="24"/>
                <w:szCs w:val="24"/>
                <w:lang w:val="en-GB"/>
              </w:rPr>
              <w:t>Outcome</w:t>
            </w:r>
          </w:p>
        </w:tc>
        <w:tc>
          <w:tcPr>
            <w:tcW w:w="12018" w:type="dxa"/>
            <w:gridSpan w:val="6"/>
            <w:shd w:val="clear" w:color="auto" w:fill="E6E6E6" w:themeFill="accent4" w:themeFillTint="33"/>
          </w:tcPr>
          <w:p w:rsidR="003532B2" w:rsidRPr="008A73BE" w:rsidRDefault="003532B2" w:rsidP="002261C3">
            <w:pPr>
              <w:tabs>
                <w:tab w:val="left" w:pos="4080"/>
              </w:tabs>
              <w:spacing w:after="60" w:line="276" w:lineRule="auto"/>
              <w:jc w:val="both"/>
              <w:rPr>
                <w:rFonts w:eastAsia="Times New Roman" w:cs="Tahoma"/>
                <w:b/>
                <w:color w:val="000000"/>
                <w:lang w:val="en-GB"/>
              </w:rPr>
            </w:pPr>
            <w:r w:rsidRPr="008A73BE">
              <w:rPr>
                <w:b/>
              </w:rPr>
              <w:t>Security Sector Governance in the Pacific, and in select Pacific Island Countries, is transparent, democratic, inclusive, and responsive to the needs of ordinary citizens and is aligned with the guiding principles to enhance security sector governance approved by Pacific leaders in August 2014, to promote peaceful and inclusive societies for sustainable development.</w:t>
            </w:r>
          </w:p>
        </w:tc>
      </w:tr>
      <w:tr w:rsidR="003532B2" w:rsidRPr="00E114C0" w:rsidTr="00D900A8">
        <w:trPr>
          <w:trHeight w:val="841"/>
        </w:trPr>
        <w:tc>
          <w:tcPr>
            <w:tcW w:w="1980" w:type="dxa"/>
            <w:shd w:val="clear" w:color="auto" w:fill="B0D0E2" w:themeFill="accent1" w:themeFillTint="66"/>
          </w:tcPr>
          <w:p w:rsidR="003532B2" w:rsidRPr="00E114C0" w:rsidRDefault="003532B2" w:rsidP="00F916CA">
            <w:pPr>
              <w:spacing w:line="276" w:lineRule="auto"/>
              <w:rPr>
                <w:rFonts w:cs="Tahoma"/>
                <w:b/>
                <w:sz w:val="24"/>
                <w:szCs w:val="24"/>
                <w:lang w:val="en-GB"/>
              </w:rPr>
            </w:pPr>
            <w:r w:rsidRPr="00E114C0">
              <w:rPr>
                <w:rFonts w:cs="Tahoma"/>
                <w:b/>
                <w:sz w:val="24"/>
                <w:szCs w:val="24"/>
                <w:lang w:val="en-GB"/>
              </w:rPr>
              <w:t>Output 1</w:t>
            </w:r>
          </w:p>
        </w:tc>
        <w:tc>
          <w:tcPr>
            <w:tcW w:w="12018" w:type="dxa"/>
            <w:gridSpan w:val="6"/>
            <w:shd w:val="clear" w:color="auto" w:fill="B0D0E2" w:themeFill="accent1" w:themeFillTint="66"/>
          </w:tcPr>
          <w:p w:rsidR="003532B2" w:rsidRDefault="003532B2" w:rsidP="00F916CA">
            <w:pPr>
              <w:spacing w:line="276" w:lineRule="auto"/>
              <w:rPr>
                <w:b/>
                <w:sz w:val="24"/>
                <w:szCs w:val="24"/>
              </w:rPr>
            </w:pPr>
            <w:r w:rsidRPr="00CA4D69">
              <w:rPr>
                <w:rFonts w:cs="Times New Roman"/>
                <w:b/>
              </w:rPr>
              <w:t xml:space="preserve">Security Sector Governance enhanced in the Pacific through support to regional dialogues and knowledge sharing fostering South-South and Triangular Cooperation and support to select </w:t>
            </w:r>
            <w:r w:rsidRPr="00CA4D69">
              <w:rPr>
                <w:b/>
              </w:rPr>
              <w:t>Pacific Island Countries to develop new national security strategies and associated security sector governance mechanisms.</w:t>
            </w:r>
            <w:r w:rsidRPr="00CA4D69">
              <w:rPr>
                <w:sz w:val="20"/>
                <w:szCs w:val="20"/>
              </w:rPr>
              <w:t xml:space="preserve"> </w:t>
            </w:r>
          </w:p>
          <w:p w:rsidR="003532B2" w:rsidRDefault="003532B2" w:rsidP="00F916CA">
            <w:pPr>
              <w:spacing w:line="276" w:lineRule="auto"/>
              <w:rPr>
                <w:b/>
                <w:sz w:val="24"/>
                <w:szCs w:val="24"/>
              </w:rPr>
            </w:pPr>
          </w:p>
          <w:p w:rsidR="003532B2" w:rsidRPr="00E114C0" w:rsidRDefault="003532B2" w:rsidP="00F916CA">
            <w:pPr>
              <w:spacing w:line="276" w:lineRule="auto"/>
              <w:rPr>
                <w:b/>
                <w:sz w:val="24"/>
                <w:szCs w:val="24"/>
              </w:rPr>
            </w:pPr>
            <w:r>
              <w:rPr>
                <w:b/>
                <w:sz w:val="24"/>
                <w:szCs w:val="24"/>
              </w:rPr>
              <w:t xml:space="preserve">Global indicator: </w:t>
            </w:r>
            <w:r>
              <w:rPr>
                <w:rFonts w:cs="Tahoma"/>
                <w:sz w:val="18"/>
                <w:szCs w:val="18"/>
                <w:lang w:val="en-GB"/>
              </w:rPr>
              <w:t>Level of structural and cultural violence</w:t>
            </w:r>
          </w:p>
        </w:tc>
      </w:tr>
      <w:tr w:rsidR="00AF5972" w:rsidRPr="00FB41B3" w:rsidTr="0034419D">
        <w:tc>
          <w:tcPr>
            <w:tcW w:w="198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Sub-outputs</w:t>
            </w:r>
          </w:p>
        </w:tc>
        <w:tc>
          <w:tcPr>
            <w:tcW w:w="241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Targets</w:t>
            </w:r>
          </w:p>
        </w:tc>
        <w:tc>
          <w:tcPr>
            <w:tcW w:w="2976"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Activity Result</w:t>
            </w:r>
          </w:p>
        </w:tc>
        <w:tc>
          <w:tcPr>
            <w:tcW w:w="2127"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Indicators</w:t>
            </w:r>
          </w:p>
        </w:tc>
        <w:tc>
          <w:tcPr>
            <w:tcW w:w="2409"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Baseline(s)</w:t>
            </w:r>
          </w:p>
        </w:tc>
        <w:tc>
          <w:tcPr>
            <w:tcW w:w="1048" w:type="dxa"/>
            <w:shd w:val="clear" w:color="auto" w:fill="B0D0E2" w:themeFill="accent1" w:themeFillTint="66"/>
          </w:tcPr>
          <w:p w:rsidR="00AF5972" w:rsidRDefault="00AF5972" w:rsidP="00AF5972">
            <w:pPr>
              <w:spacing w:line="276" w:lineRule="auto"/>
              <w:jc w:val="center"/>
              <w:rPr>
                <w:rFonts w:cs="Tahoma"/>
                <w:b/>
                <w:sz w:val="18"/>
                <w:szCs w:val="18"/>
                <w:lang w:val="en-GB"/>
              </w:rPr>
            </w:pPr>
            <w:r>
              <w:rPr>
                <w:rFonts w:cs="Tahoma"/>
                <w:b/>
                <w:sz w:val="18"/>
                <w:szCs w:val="18"/>
                <w:lang w:val="en-GB"/>
              </w:rPr>
              <w:t>Inputs 2016</w:t>
            </w:r>
          </w:p>
        </w:tc>
        <w:tc>
          <w:tcPr>
            <w:tcW w:w="1048"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Pr>
                <w:rFonts w:cs="Tahoma"/>
                <w:b/>
                <w:sz w:val="18"/>
                <w:szCs w:val="18"/>
                <w:lang w:val="en-GB"/>
              </w:rPr>
              <w:t>Inputs 2017</w:t>
            </w:r>
          </w:p>
        </w:tc>
      </w:tr>
      <w:tr w:rsidR="00AF5972" w:rsidRPr="00FB41B3" w:rsidTr="00EE5CC9">
        <w:trPr>
          <w:trHeight w:val="710"/>
        </w:trPr>
        <w:tc>
          <w:tcPr>
            <w:tcW w:w="1980" w:type="dxa"/>
          </w:tcPr>
          <w:p w:rsidR="00AF5972" w:rsidRPr="00FB41B3" w:rsidRDefault="00AF5972" w:rsidP="00F916CA">
            <w:pPr>
              <w:spacing w:line="276" w:lineRule="auto"/>
              <w:rPr>
                <w:rFonts w:cs="Arial"/>
                <w:sz w:val="18"/>
                <w:szCs w:val="18"/>
              </w:rPr>
            </w:pPr>
            <w:r w:rsidRPr="00FB41B3">
              <w:rPr>
                <w:rFonts w:cs="Tahoma"/>
                <w:sz w:val="18"/>
                <w:szCs w:val="18"/>
                <w:lang w:val="en-GB"/>
              </w:rPr>
              <w:t>1.1</w:t>
            </w:r>
            <w:r w:rsidRPr="00FB41B3">
              <w:rPr>
                <w:rFonts w:cs="Tahoma"/>
                <w:b/>
                <w:sz w:val="18"/>
                <w:szCs w:val="18"/>
                <w:lang w:val="en-GB"/>
              </w:rPr>
              <w:t xml:space="preserve"> </w:t>
            </w:r>
            <w:r w:rsidRPr="00FB41B3">
              <w:rPr>
                <w:rFonts w:cs="Tahoma"/>
                <w:sz w:val="18"/>
                <w:szCs w:val="18"/>
                <w:lang w:val="en-GB"/>
              </w:rPr>
              <w:t xml:space="preserve">Regional </w:t>
            </w:r>
            <w:r w:rsidRPr="00FB41B3">
              <w:rPr>
                <w:rFonts w:cs="Arial"/>
                <w:sz w:val="18"/>
                <w:szCs w:val="18"/>
              </w:rPr>
              <w:t>cooperation and the promotion of the Pacific Human Security Framework in the Pacific Island Countries is enhanced through a stronger Pacific Island</w:t>
            </w:r>
            <w:r w:rsidR="00D900A8">
              <w:rPr>
                <w:rFonts w:cs="Arial"/>
                <w:sz w:val="18"/>
                <w:szCs w:val="18"/>
              </w:rPr>
              <w:t>s</w:t>
            </w:r>
            <w:r w:rsidRPr="00FB41B3">
              <w:rPr>
                <w:rFonts w:cs="Arial"/>
                <w:sz w:val="18"/>
                <w:szCs w:val="18"/>
              </w:rPr>
              <w:t xml:space="preserve"> Forum</w:t>
            </w:r>
            <w:r>
              <w:rPr>
                <w:rFonts w:cs="Arial"/>
                <w:sz w:val="18"/>
                <w:szCs w:val="18"/>
              </w:rPr>
              <w:t xml:space="preserve"> </w:t>
            </w:r>
            <w:r w:rsidR="00D900A8">
              <w:rPr>
                <w:rFonts w:cs="Arial"/>
                <w:sz w:val="18"/>
                <w:szCs w:val="18"/>
              </w:rPr>
              <w:t>Secretariat</w:t>
            </w:r>
          </w:p>
          <w:p w:rsidR="00AF5972" w:rsidRPr="00FB41B3" w:rsidRDefault="00AF5972" w:rsidP="00F916CA">
            <w:pPr>
              <w:spacing w:line="276" w:lineRule="auto"/>
              <w:rPr>
                <w:rFonts w:cs="Tahoma"/>
                <w:b/>
                <w:sz w:val="18"/>
                <w:szCs w:val="18"/>
                <w:lang w:val="en-GB"/>
              </w:rPr>
            </w:pPr>
          </w:p>
          <w:p w:rsidR="00AF5972" w:rsidRPr="00FB41B3" w:rsidRDefault="00AF5972" w:rsidP="00F916CA">
            <w:pPr>
              <w:spacing w:line="276" w:lineRule="auto"/>
              <w:rPr>
                <w:rFonts w:cs="Tahoma"/>
                <w:b/>
                <w:sz w:val="18"/>
                <w:szCs w:val="18"/>
                <w:lang w:val="en-GB"/>
              </w:rPr>
            </w:pPr>
          </w:p>
          <w:p w:rsidR="00AF5972" w:rsidRPr="00FB41B3" w:rsidRDefault="00AF5972" w:rsidP="00F916CA">
            <w:pPr>
              <w:spacing w:line="276" w:lineRule="auto"/>
              <w:rPr>
                <w:rFonts w:cs="Tahoma"/>
                <w:b/>
                <w:sz w:val="18"/>
                <w:szCs w:val="18"/>
                <w:lang w:val="en-GB"/>
              </w:rPr>
            </w:pPr>
          </w:p>
        </w:tc>
        <w:tc>
          <w:tcPr>
            <w:tcW w:w="2410" w:type="dxa"/>
          </w:tcPr>
          <w:p w:rsidR="00AF5972" w:rsidRPr="00983C25" w:rsidRDefault="00AF5972" w:rsidP="00E74BDE">
            <w:pPr>
              <w:pStyle w:val="ListParagraph"/>
              <w:numPr>
                <w:ilvl w:val="0"/>
                <w:numId w:val="38"/>
              </w:numPr>
              <w:spacing w:line="276" w:lineRule="auto"/>
              <w:rPr>
                <w:rFonts w:cs="Tahoma"/>
                <w:sz w:val="18"/>
                <w:szCs w:val="18"/>
                <w:lang w:val="en-GB"/>
              </w:rPr>
            </w:pPr>
            <w:r w:rsidRPr="00983C25">
              <w:rPr>
                <w:rFonts w:cs="Tahoma"/>
                <w:sz w:val="18"/>
                <w:szCs w:val="18"/>
                <w:lang w:val="en-GB"/>
              </w:rPr>
              <w:t>Support provided through the PIF</w:t>
            </w:r>
            <w:r w:rsidR="00D900A8">
              <w:rPr>
                <w:rFonts w:cs="Tahoma"/>
                <w:sz w:val="18"/>
                <w:szCs w:val="18"/>
                <w:lang w:val="en-GB"/>
              </w:rPr>
              <w:t>S</w:t>
            </w:r>
            <w:r w:rsidRPr="00983C25">
              <w:rPr>
                <w:rFonts w:cs="Tahoma"/>
                <w:sz w:val="18"/>
                <w:szCs w:val="18"/>
                <w:lang w:val="en-GB"/>
              </w:rPr>
              <w:t xml:space="preserve"> to PICs in developing more effective people centred security policies </w:t>
            </w:r>
            <w:r>
              <w:rPr>
                <w:rFonts w:cs="Tahoma"/>
                <w:sz w:val="18"/>
                <w:szCs w:val="18"/>
                <w:lang w:val="en-GB"/>
              </w:rPr>
              <w:t xml:space="preserve">in line </w:t>
            </w:r>
            <w:r w:rsidRPr="00983C25">
              <w:rPr>
                <w:rFonts w:cs="Tahoma"/>
                <w:sz w:val="18"/>
                <w:szCs w:val="18"/>
                <w:lang w:val="en-GB"/>
              </w:rPr>
              <w:t>with regional fram</w:t>
            </w:r>
            <w:r>
              <w:rPr>
                <w:rFonts w:cs="Tahoma"/>
                <w:sz w:val="18"/>
                <w:szCs w:val="18"/>
                <w:lang w:val="en-GB"/>
              </w:rPr>
              <w:t xml:space="preserve">eworks linked to national </w:t>
            </w:r>
            <w:r w:rsidRPr="00983C25">
              <w:rPr>
                <w:rFonts w:cs="Tahoma"/>
                <w:sz w:val="18"/>
                <w:szCs w:val="18"/>
                <w:lang w:val="en-GB"/>
              </w:rPr>
              <w:t>development framework</w:t>
            </w:r>
            <w:r>
              <w:rPr>
                <w:rFonts w:cs="Tahoma"/>
                <w:sz w:val="18"/>
                <w:szCs w:val="18"/>
                <w:lang w:val="en-GB"/>
              </w:rPr>
              <w:t>s</w:t>
            </w:r>
          </w:p>
        </w:tc>
        <w:tc>
          <w:tcPr>
            <w:tcW w:w="2976" w:type="dxa"/>
          </w:tcPr>
          <w:p w:rsidR="00AF5972" w:rsidRPr="00EE5CC9" w:rsidRDefault="00AF5972" w:rsidP="00EE5CC9">
            <w:pPr>
              <w:pStyle w:val="ListParagraph"/>
              <w:numPr>
                <w:ilvl w:val="2"/>
                <w:numId w:val="32"/>
              </w:numPr>
              <w:spacing w:line="276" w:lineRule="auto"/>
              <w:rPr>
                <w:rFonts w:cs="Tahoma"/>
                <w:sz w:val="18"/>
                <w:szCs w:val="18"/>
              </w:rPr>
            </w:pPr>
            <w:r w:rsidRPr="007B5D84">
              <w:rPr>
                <w:rFonts w:cs="Tahoma"/>
                <w:sz w:val="18"/>
                <w:szCs w:val="18"/>
              </w:rPr>
              <w:t>Consu</w:t>
            </w:r>
            <w:r w:rsidR="009B1F67">
              <w:rPr>
                <w:rFonts w:cs="Tahoma"/>
                <w:sz w:val="18"/>
                <w:szCs w:val="18"/>
              </w:rPr>
              <w:t xml:space="preserve">ltations with Governments of chosen </w:t>
            </w:r>
            <w:r w:rsidRPr="007B5D84">
              <w:rPr>
                <w:rFonts w:cs="Tahoma"/>
                <w:sz w:val="18"/>
                <w:szCs w:val="18"/>
              </w:rPr>
              <w:t xml:space="preserve">target countries on human security and security sector reform. The consultations will entail expertise and workshops allowing the countries to think through how they can improve or enhance security that benefits their people. </w:t>
            </w:r>
            <w:r w:rsidR="00EE5CC9">
              <w:rPr>
                <w:rFonts w:cs="Tahoma"/>
                <w:sz w:val="18"/>
                <w:szCs w:val="18"/>
              </w:rPr>
              <w:t xml:space="preserve"> For example in 2016 an </w:t>
            </w:r>
            <w:r w:rsidR="007B5D84" w:rsidRPr="00EE5CC9">
              <w:rPr>
                <w:rFonts w:cs="Tahoma"/>
                <w:b/>
                <w:sz w:val="18"/>
                <w:szCs w:val="18"/>
              </w:rPr>
              <w:t>Elect</w:t>
            </w:r>
            <w:r w:rsidR="00EE5CC9">
              <w:rPr>
                <w:rFonts w:cs="Tahoma"/>
                <w:b/>
                <w:sz w:val="18"/>
                <w:szCs w:val="18"/>
              </w:rPr>
              <w:t xml:space="preserve">oral security regional workshop and a </w:t>
            </w:r>
            <w:r w:rsidR="007B5D84" w:rsidRPr="00EE5CC9">
              <w:rPr>
                <w:rFonts w:cs="Tahoma"/>
                <w:b/>
                <w:sz w:val="18"/>
                <w:szCs w:val="18"/>
              </w:rPr>
              <w:t>Symposium on private</w:t>
            </w:r>
            <w:r w:rsidR="007B5D84" w:rsidRPr="00EE5CC9">
              <w:rPr>
                <w:rFonts w:cs="Tahoma"/>
                <w:sz w:val="18"/>
                <w:szCs w:val="18"/>
              </w:rPr>
              <w:t xml:space="preserve"> </w:t>
            </w:r>
            <w:r w:rsidR="007B5D84" w:rsidRPr="00EE5CC9">
              <w:rPr>
                <w:rFonts w:cs="Tahoma"/>
                <w:b/>
                <w:sz w:val="18"/>
                <w:szCs w:val="18"/>
              </w:rPr>
              <w:t>security firms in the Pacific region</w:t>
            </w:r>
            <w:r w:rsidRPr="00EE5CC9">
              <w:rPr>
                <w:rFonts w:cs="Tahoma"/>
                <w:sz w:val="18"/>
                <w:szCs w:val="18"/>
              </w:rPr>
              <w:t xml:space="preserve"> </w:t>
            </w:r>
          </w:p>
        </w:tc>
        <w:tc>
          <w:tcPr>
            <w:tcW w:w="2127" w:type="dxa"/>
          </w:tcPr>
          <w:p w:rsidR="00AF5972" w:rsidRPr="004E000A" w:rsidRDefault="00AF5972" w:rsidP="00F916CA">
            <w:pPr>
              <w:spacing w:line="276" w:lineRule="auto"/>
              <w:rPr>
                <w:rFonts w:cs="Tahoma"/>
                <w:sz w:val="18"/>
                <w:szCs w:val="18"/>
              </w:rPr>
            </w:pPr>
            <w:r w:rsidRPr="004E000A">
              <w:rPr>
                <w:rFonts w:cs="Tahoma"/>
                <w:sz w:val="18"/>
                <w:szCs w:val="18"/>
              </w:rPr>
              <w:t># countries committed in formulating a Human Right based security policies</w:t>
            </w:r>
          </w:p>
          <w:p w:rsidR="00AF5972" w:rsidRPr="004E000A" w:rsidRDefault="00AF5972" w:rsidP="00F916CA">
            <w:pPr>
              <w:spacing w:line="276" w:lineRule="auto"/>
              <w:rPr>
                <w:rFonts w:cs="Tahoma"/>
                <w:sz w:val="18"/>
                <w:szCs w:val="18"/>
              </w:rPr>
            </w:pPr>
            <w:r w:rsidRPr="004E000A">
              <w:rPr>
                <w:rFonts w:cs="Tahoma"/>
                <w:sz w:val="18"/>
                <w:szCs w:val="18"/>
              </w:rPr>
              <w:t># countries that have gender sensitive security policies</w:t>
            </w:r>
          </w:p>
          <w:p w:rsidR="00AF5972" w:rsidRPr="00FB41B3" w:rsidRDefault="00AF5972" w:rsidP="00F916CA">
            <w:pPr>
              <w:spacing w:line="276" w:lineRule="auto"/>
              <w:rPr>
                <w:rFonts w:cs="Tahoma"/>
                <w:sz w:val="18"/>
                <w:szCs w:val="18"/>
                <w:lang w:val="en-GB"/>
              </w:rPr>
            </w:pPr>
            <w:r>
              <w:rPr>
                <w:rFonts w:cs="Tahoma"/>
                <w:sz w:val="18"/>
                <w:szCs w:val="18"/>
                <w:lang w:val="en-GB"/>
              </w:rPr>
              <w:t>% females participating in consultations and workshops</w:t>
            </w:r>
          </w:p>
          <w:p w:rsidR="00AF5972" w:rsidRDefault="00AF5972" w:rsidP="00F916CA">
            <w:pPr>
              <w:spacing w:line="276" w:lineRule="auto"/>
              <w:rPr>
                <w:rFonts w:cs="Tahoma"/>
                <w:sz w:val="18"/>
                <w:szCs w:val="18"/>
                <w:lang w:val="en-GB"/>
              </w:rPr>
            </w:pPr>
          </w:p>
          <w:p w:rsidR="00AF5972" w:rsidRDefault="00AF5972" w:rsidP="00F916CA">
            <w:pPr>
              <w:spacing w:line="276" w:lineRule="auto"/>
              <w:rPr>
                <w:rFonts w:cs="Tahoma"/>
                <w:sz w:val="18"/>
                <w:szCs w:val="18"/>
                <w:lang w:val="en-GB"/>
              </w:rPr>
            </w:pPr>
            <w:r>
              <w:rPr>
                <w:rFonts w:cs="Tahoma"/>
                <w:sz w:val="18"/>
                <w:szCs w:val="18"/>
                <w:lang w:val="en-GB"/>
              </w:rPr>
              <w:t>Other useful indicators:</w:t>
            </w:r>
          </w:p>
          <w:p w:rsidR="00AF5972" w:rsidRPr="00FB41B3" w:rsidRDefault="00AF5972" w:rsidP="00F916CA">
            <w:pPr>
              <w:spacing w:line="276" w:lineRule="auto"/>
              <w:rPr>
                <w:rFonts w:cs="Tahoma"/>
                <w:sz w:val="18"/>
                <w:szCs w:val="18"/>
                <w:lang w:val="en-GB"/>
              </w:rPr>
            </w:pPr>
            <w:r>
              <w:rPr>
                <w:rFonts w:cs="Tahoma"/>
                <w:sz w:val="18"/>
                <w:szCs w:val="18"/>
                <w:lang w:val="en-GB"/>
              </w:rPr>
              <w:t xml:space="preserve">Level of structural and cultural violence </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Existing Regional security Frameworks and agreements;</w:t>
            </w:r>
          </w:p>
          <w:p w:rsidR="00AF5972" w:rsidRDefault="00AF5972" w:rsidP="00F916CA">
            <w:pPr>
              <w:spacing w:line="276" w:lineRule="auto"/>
              <w:rPr>
                <w:rFonts w:cs="Tahoma"/>
                <w:sz w:val="18"/>
                <w:szCs w:val="18"/>
                <w:lang w:val="en-GB"/>
              </w:rPr>
            </w:pPr>
            <w:r w:rsidRPr="00FB41B3">
              <w:rPr>
                <w:rFonts w:cs="Tahoma"/>
                <w:sz w:val="18"/>
                <w:szCs w:val="18"/>
                <w:lang w:val="en-GB"/>
              </w:rPr>
              <w:t>Existing national security frameworks</w:t>
            </w:r>
            <w:r>
              <w:rPr>
                <w:rFonts w:cs="Tahoma"/>
                <w:sz w:val="18"/>
                <w:szCs w:val="18"/>
                <w:lang w:val="en-GB"/>
              </w:rPr>
              <w:t xml:space="preserve">; national crime indicators; # military (M/F); # Police (M/F); national budgets for security (military/police); </w:t>
            </w:r>
          </w:p>
          <w:p w:rsidR="00AF5972" w:rsidRDefault="00AF5972" w:rsidP="00F916CA">
            <w:pPr>
              <w:spacing w:line="276" w:lineRule="auto"/>
              <w:rPr>
                <w:rFonts w:cs="Tahoma"/>
                <w:sz w:val="18"/>
                <w:szCs w:val="18"/>
                <w:lang w:val="en-GB"/>
              </w:rPr>
            </w:pPr>
          </w:p>
          <w:p w:rsidR="00AF5972" w:rsidRDefault="00AF5972" w:rsidP="00F916CA">
            <w:pPr>
              <w:spacing w:line="276" w:lineRule="auto"/>
              <w:rPr>
                <w:rFonts w:cs="Tahoma"/>
                <w:sz w:val="18"/>
                <w:szCs w:val="18"/>
                <w:lang w:val="en-GB"/>
              </w:rPr>
            </w:pPr>
          </w:p>
          <w:p w:rsidR="00AF5972" w:rsidRDefault="00AF5972" w:rsidP="00F916CA">
            <w:pPr>
              <w:spacing w:line="276" w:lineRule="auto"/>
              <w:rPr>
                <w:rFonts w:cs="Tahoma"/>
                <w:sz w:val="18"/>
                <w:szCs w:val="18"/>
                <w:lang w:val="en-GB"/>
              </w:rPr>
            </w:pPr>
          </w:p>
          <w:p w:rsidR="00AF5972" w:rsidRDefault="00AF5972" w:rsidP="00F916CA">
            <w:pPr>
              <w:spacing w:line="276" w:lineRule="auto"/>
              <w:rPr>
                <w:rFonts w:cs="Tahoma"/>
                <w:sz w:val="18"/>
                <w:szCs w:val="18"/>
                <w:lang w:val="en-GB"/>
              </w:rPr>
            </w:pPr>
          </w:p>
          <w:p w:rsidR="00AF5972" w:rsidRPr="00FB41B3" w:rsidRDefault="00AF5972" w:rsidP="00F916CA">
            <w:pPr>
              <w:spacing w:line="276" w:lineRule="auto"/>
              <w:rPr>
                <w:rFonts w:cs="Tahoma"/>
                <w:sz w:val="18"/>
                <w:szCs w:val="18"/>
                <w:lang w:val="en-GB"/>
              </w:rPr>
            </w:pPr>
            <w:r>
              <w:rPr>
                <w:rFonts w:cs="Tahoma"/>
                <w:sz w:val="18"/>
                <w:szCs w:val="18"/>
                <w:lang w:val="en-GB"/>
              </w:rPr>
              <w:t>Small Arms Survey; Global Peace Index</w:t>
            </w:r>
          </w:p>
        </w:tc>
        <w:tc>
          <w:tcPr>
            <w:tcW w:w="1048" w:type="dxa"/>
          </w:tcPr>
          <w:p w:rsidR="007B5D84" w:rsidRDefault="0080281A" w:rsidP="00F916CA">
            <w:pPr>
              <w:spacing w:line="276" w:lineRule="auto"/>
              <w:rPr>
                <w:rFonts w:cs="Tahoma"/>
                <w:sz w:val="18"/>
                <w:szCs w:val="18"/>
                <w:lang w:val="en-GB"/>
              </w:rPr>
            </w:pPr>
            <w:r>
              <w:rPr>
                <w:rFonts w:cs="Tahoma"/>
                <w:sz w:val="18"/>
                <w:szCs w:val="18"/>
                <w:lang w:val="en-GB"/>
              </w:rPr>
              <w:t>30</w:t>
            </w:r>
            <w:r w:rsidR="00AF5972">
              <w:rPr>
                <w:rFonts w:cs="Tahoma"/>
                <w:sz w:val="18"/>
                <w:szCs w:val="18"/>
                <w:lang w:val="en-GB"/>
              </w:rPr>
              <w:t>,000</w:t>
            </w:r>
            <w:r w:rsidR="007B5D84">
              <w:rPr>
                <w:rFonts w:cs="Tahoma"/>
                <w:sz w:val="18"/>
                <w:szCs w:val="18"/>
                <w:lang w:val="en-GB"/>
              </w:rPr>
              <w:t xml:space="preserve"> (travel and conference costs). </w:t>
            </w:r>
          </w:p>
          <w:p w:rsidR="00AF5972" w:rsidRPr="007B5D84" w:rsidRDefault="007B5D84" w:rsidP="00F916CA">
            <w:pPr>
              <w:spacing w:line="276" w:lineRule="auto"/>
              <w:rPr>
                <w:rFonts w:cs="Tahoma"/>
                <w:b/>
                <w:sz w:val="18"/>
                <w:szCs w:val="18"/>
                <w:lang w:val="en-GB"/>
              </w:rPr>
            </w:pPr>
            <w:r w:rsidRPr="007B5D84">
              <w:rPr>
                <w:rFonts w:cs="Tahoma"/>
                <w:b/>
                <w:sz w:val="18"/>
                <w:szCs w:val="18"/>
                <w:lang w:val="en-GB"/>
              </w:rPr>
              <w:t>Q1/Q2</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1792"/>
        </w:trPr>
        <w:tc>
          <w:tcPr>
            <w:tcW w:w="1980" w:type="dxa"/>
            <w:vMerge w:val="restart"/>
          </w:tcPr>
          <w:p w:rsidR="00AF5972" w:rsidRPr="00FB41B3" w:rsidRDefault="00AF5972" w:rsidP="00F916CA">
            <w:pPr>
              <w:spacing w:line="276" w:lineRule="auto"/>
              <w:rPr>
                <w:rFonts w:cs="Tahoma"/>
                <w:b/>
                <w:sz w:val="18"/>
                <w:szCs w:val="18"/>
                <w:lang w:val="en-GB"/>
              </w:rPr>
            </w:pPr>
          </w:p>
        </w:tc>
        <w:tc>
          <w:tcPr>
            <w:tcW w:w="2410" w:type="dxa"/>
          </w:tcPr>
          <w:p w:rsidR="00AF5972" w:rsidRPr="00147C72" w:rsidRDefault="00AF5972" w:rsidP="00F916CA">
            <w:pPr>
              <w:pStyle w:val="ListParagraph"/>
              <w:numPr>
                <w:ilvl w:val="0"/>
                <w:numId w:val="37"/>
              </w:numPr>
              <w:spacing w:line="276" w:lineRule="auto"/>
              <w:rPr>
                <w:rFonts w:cs="Tahoma"/>
                <w:sz w:val="18"/>
                <w:szCs w:val="18"/>
                <w:lang w:val="en-GB"/>
              </w:rPr>
            </w:pPr>
            <w:r w:rsidRPr="00147C72">
              <w:rPr>
                <w:rFonts w:cs="Times New Roman"/>
                <w:sz w:val="18"/>
                <w:szCs w:val="18"/>
              </w:rPr>
              <w:t xml:space="preserve">Pacific Island Forum Secretariat </w:t>
            </w:r>
            <w:r w:rsidRPr="00147C72">
              <w:rPr>
                <w:rFonts w:cs="Arial"/>
                <w:sz w:val="18"/>
                <w:szCs w:val="18"/>
              </w:rPr>
              <w:t>provides high quality policy advice, co-ordination and implementation assistance in support of members’ security and governance priorities that promote accountable institutions, democratic oversight and civilian participation</w:t>
            </w:r>
          </w:p>
        </w:tc>
        <w:tc>
          <w:tcPr>
            <w:tcW w:w="2976" w:type="dxa"/>
          </w:tcPr>
          <w:p w:rsidR="00AF5972" w:rsidRPr="00FB41B3" w:rsidRDefault="00AF5972" w:rsidP="00E74BDE">
            <w:pPr>
              <w:spacing w:line="276" w:lineRule="auto"/>
              <w:rPr>
                <w:rFonts w:cs="Times New Roman"/>
                <w:sz w:val="18"/>
                <w:szCs w:val="18"/>
              </w:rPr>
            </w:pPr>
            <w:r>
              <w:rPr>
                <w:rFonts w:cs="Tahoma"/>
                <w:sz w:val="18"/>
                <w:szCs w:val="18"/>
                <w:lang w:val="en-GB"/>
              </w:rPr>
              <w:t xml:space="preserve">1.1.2 2016 regional SSR/SSG meeting co-hosted with the </w:t>
            </w:r>
            <w:r w:rsidR="00D900A8">
              <w:rPr>
                <w:rFonts w:cs="Tahoma"/>
                <w:sz w:val="18"/>
                <w:szCs w:val="18"/>
                <w:lang w:val="en-GB"/>
              </w:rPr>
              <w:t>P</w:t>
            </w:r>
            <w:r>
              <w:rPr>
                <w:rFonts w:cs="Tahoma"/>
                <w:sz w:val="18"/>
                <w:szCs w:val="18"/>
                <w:lang w:val="en-GB"/>
              </w:rPr>
              <w:t xml:space="preserve">acific </w:t>
            </w:r>
            <w:r w:rsidR="00D900A8">
              <w:rPr>
                <w:rFonts w:cs="Tahoma"/>
                <w:sz w:val="18"/>
                <w:szCs w:val="18"/>
                <w:lang w:val="en-GB"/>
              </w:rPr>
              <w:t>Islands F</w:t>
            </w:r>
            <w:r>
              <w:rPr>
                <w:rFonts w:cs="Tahoma"/>
                <w:sz w:val="18"/>
                <w:szCs w:val="18"/>
                <w:lang w:val="en-GB"/>
              </w:rPr>
              <w:t xml:space="preserve">orum </w:t>
            </w:r>
            <w:r w:rsidR="00D900A8">
              <w:rPr>
                <w:rFonts w:cs="Tahoma"/>
                <w:sz w:val="18"/>
                <w:szCs w:val="18"/>
                <w:lang w:val="en-GB"/>
              </w:rPr>
              <w:t xml:space="preserve">Secretariat </w:t>
            </w:r>
            <w:r>
              <w:rPr>
                <w:rFonts w:cs="Tahoma"/>
                <w:sz w:val="18"/>
                <w:szCs w:val="18"/>
                <w:lang w:val="en-GB"/>
              </w:rPr>
              <w:t>to promote human security and security sector Governance with a focus on appropriate Pacific security dimensions (To be undertaken in conjunction with 2.1.1)</w:t>
            </w:r>
          </w:p>
        </w:tc>
        <w:tc>
          <w:tcPr>
            <w:tcW w:w="2127" w:type="dxa"/>
          </w:tcPr>
          <w:p w:rsidR="00AF5972" w:rsidRDefault="00AF5972" w:rsidP="00F916CA">
            <w:pPr>
              <w:spacing w:line="276" w:lineRule="auto"/>
              <w:rPr>
                <w:rFonts w:cs="Tahoma"/>
                <w:sz w:val="18"/>
                <w:szCs w:val="18"/>
                <w:lang w:val="en-GB"/>
              </w:rPr>
            </w:pPr>
            <w:r w:rsidRPr="00FB41B3">
              <w:rPr>
                <w:rFonts w:cs="Tahoma"/>
                <w:sz w:val="18"/>
                <w:szCs w:val="18"/>
                <w:lang w:val="en-GB"/>
              </w:rPr>
              <w:t xml:space="preserve"># PIF personnel trained </w:t>
            </w:r>
            <w:r>
              <w:rPr>
                <w:rFonts w:cs="Tahoma"/>
                <w:sz w:val="18"/>
                <w:szCs w:val="18"/>
                <w:lang w:val="en-GB"/>
              </w:rPr>
              <w:t xml:space="preserve">in preparation </w:t>
            </w:r>
            <w:r w:rsidRPr="00FB41B3">
              <w:rPr>
                <w:rFonts w:cs="Tahoma"/>
                <w:sz w:val="18"/>
                <w:szCs w:val="18"/>
                <w:lang w:val="en-GB"/>
              </w:rPr>
              <w:t>(M/F)</w:t>
            </w:r>
          </w:p>
          <w:p w:rsidR="00AF5972" w:rsidRPr="00FB41B3" w:rsidRDefault="00AF5972" w:rsidP="00F916CA">
            <w:pPr>
              <w:spacing w:line="276" w:lineRule="auto"/>
              <w:rPr>
                <w:rFonts w:cs="Tahoma"/>
                <w:sz w:val="18"/>
                <w:szCs w:val="18"/>
                <w:lang w:val="en-GB"/>
              </w:rPr>
            </w:pPr>
            <w:r>
              <w:rPr>
                <w:rFonts w:cs="Tahoma"/>
                <w:sz w:val="18"/>
                <w:szCs w:val="18"/>
                <w:lang w:val="en-GB"/>
              </w:rPr>
              <w:t># participants in consultations (M/F)</w:t>
            </w:r>
          </w:p>
          <w:p w:rsidR="00AF5972" w:rsidRPr="00FB41B3" w:rsidRDefault="00AF5972" w:rsidP="00F916CA">
            <w:pPr>
              <w:spacing w:line="276" w:lineRule="auto"/>
              <w:rPr>
                <w:rFonts w:cs="Tahoma"/>
                <w:sz w:val="18"/>
                <w:szCs w:val="18"/>
                <w:lang w:val="en-GB"/>
              </w:rPr>
            </w:pP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Existing frameworks and forum in the PICs;</w:t>
            </w:r>
          </w:p>
          <w:p w:rsidR="00AF5972" w:rsidRPr="00FB41B3" w:rsidRDefault="00AF5972" w:rsidP="00F916CA">
            <w:pPr>
              <w:spacing w:line="276" w:lineRule="auto"/>
              <w:rPr>
                <w:rFonts w:cs="Tahoma"/>
                <w:sz w:val="18"/>
                <w:szCs w:val="18"/>
                <w:lang w:val="en-GB"/>
              </w:rPr>
            </w:pPr>
            <w:r w:rsidRPr="00FB41B3">
              <w:rPr>
                <w:rFonts w:cs="Tahoma"/>
                <w:sz w:val="18"/>
                <w:szCs w:val="18"/>
                <w:lang w:val="en-GB"/>
              </w:rPr>
              <w:t>Previous training done by UNDP or other;</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Measure with questionnaires level of knowledge of </w:t>
            </w:r>
            <w:r>
              <w:rPr>
                <w:rFonts w:cs="Tahoma"/>
                <w:sz w:val="18"/>
                <w:szCs w:val="18"/>
                <w:lang w:val="en-GB"/>
              </w:rPr>
              <w:t xml:space="preserve">principles of </w:t>
            </w:r>
            <w:r w:rsidRPr="00FB41B3">
              <w:rPr>
                <w:rFonts w:cs="Tahoma"/>
                <w:sz w:val="18"/>
                <w:szCs w:val="18"/>
                <w:lang w:val="en-GB"/>
              </w:rPr>
              <w:t xml:space="preserve">SSR </w:t>
            </w:r>
          </w:p>
        </w:tc>
        <w:tc>
          <w:tcPr>
            <w:tcW w:w="1048" w:type="dxa"/>
          </w:tcPr>
          <w:p w:rsidR="00AF5972" w:rsidDel="00A76E22" w:rsidRDefault="00AF5972" w:rsidP="00F916CA">
            <w:pPr>
              <w:spacing w:line="276" w:lineRule="auto"/>
              <w:rPr>
                <w:rFonts w:cs="Tahoma"/>
                <w:sz w:val="18"/>
                <w:szCs w:val="18"/>
                <w:lang w:val="en-GB"/>
              </w:rPr>
            </w:pPr>
            <w:r>
              <w:rPr>
                <w:rFonts w:cs="Tahoma"/>
                <w:sz w:val="18"/>
                <w:szCs w:val="18"/>
                <w:lang w:val="en-GB"/>
              </w:rPr>
              <w:t>Funds under 2.1.1</w:t>
            </w:r>
          </w:p>
        </w:tc>
        <w:tc>
          <w:tcPr>
            <w:tcW w:w="1048" w:type="dxa"/>
          </w:tcPr>
          <w:p w:rsidR="00AF5972" w:rsidRDefault="00AF5972" w:rsidP="00F916CA">
            <w:pPr>
              <w:spacing w:line="276" w:lineRule="auto"/>
              <w:rPr>
                <w:rFonts w:cs="Tahoma"/>
                <w:sz w:val="18"/>
                <w:szCs w:val="18"/>
                <w:lang w:val="en-GB"/>
              </w:rPr>
            </w:pPr>
          </w:p>
          <w:p w:rsidR="00AF5972" w:rsidRPr="00FB41B3" w:rsidRDefault="00AF5972" w:rsidP="00F916CA">
            <w:pPr>
              <w:spacing w:line="276" w:lineRule="auto"/>
              <w:rPr>
                <w:rFonts w:cs="Tahoma"/>
                <w:sz w:val="18"/>
                <w:szCs w:val="18"/>
                <w:lang w:val="en-GB"/>
              </w:rPr>
            </w:pPr>
          </w:p>
        </w:tc>
      </w:tr>
      <w:tr w:rsidR="00AF5972" w:rsidRPr="00FB41B3" w:rsidTr="0034419D">
        <w:trPr>
          <w:trHeight w:val="1125"/>
        </w:trPr>
        <w:tc>
          <w:tcPr>
            <w:tcW w:w="1980" w:type="dxa"/>
            <w:vMerge/>
          </w:tcPr>
          <w:p w:rsidR="00AF5972" w:rsidRPr="00FB41B3" w:rsidRDefault="00AF5972" w:rsidP="00F916CA">
            <w:pPr>
              <w:spacing w:line="276" w:lineRule="auto"/>
              <w:rPr>
                <w:rFonts w:cs="Tahoma"/>
                <w:b/>
                <w:sz w:val="18"/>
                <w:szCs w:val="18"/>
                <w:lang w:val="en-GB"/>
              </w:rPr>
            </w:pPr>
          </w:p>
        </w:tc>
        <w:tc>
          <w:tcPr>
            <w:tcW w:w="2410" w:type="dxa"/>
          </w:tcPr>
          <w:p w:rsidR="00AF5972" w:rsidRPr="00357C61" w:rsidRDefault="00AF5972" w:rsidP="00F916CA">
            <w:pPr>
              <w:pStyle w:val="ListParagraph"/>
              <w:numPr>
                <w:ilvl w:val="0"/>
                <w:numId w:val="37"/>
              </w:numPr>
              <w:spacing w:line="276" w:lineRule="auto"/>
              <w:rPr>
                <w:rFonts w:cs="Tahoma"/>
                <w:sz w:val="18"/>
                <w:szCs w:val="18"/>
                <w:lang w:val="en-GB"/>
              </w:rPr>
            </w:pPr>
            <w:r>
              <w:rPr>
                <w:rFonts w:cs="Times New Roman"/>
                <w:sz w:val="18"/>
                <w:szCs w:val="18"/>
              </w:rPr>
              <w:t xml:space="preserve">International and regional </w:t>
            </w:r>
            <w:r w:rsidRPr="00357C61">
              <w:rPr>
                <w:rFonts w:cs="Times New Roman"/>
                <w:sz w:val="18"/>
                <w:szCs w:val="18"/>
              </w:rPr>
              <w:t>experts, academia and Human Rights practitioners</w:t>
            </w:r>
            <w:r>
              <w:rPr>
                <w:rFonts w:cs="Times New Roman"/>
                <w:sz w:val="18"/>
                <w:szCs w:val="18"/>
              </w:rPr>
              <w:t xml:space="preserve"> </w:t>
            </w:r>
            <w:r w:rsidRPr="00357C61">
              <w:rPr>
                <w:rFonts w:cs="Times New Roman"/>
                <w:sz w:val="18"/>
                <w:szCs w:val="18"/>
              </w:rPr>
              <w:t xml:space="preserve"> in the PIF countries partake in forums and consultations (including high level military, police and corrections officers and other key security sector players) with a view to leveraging the understanding of contemporary SSR and how it is integrally linked to development</w:t>
            </w:r>
            <w:r>
              <w:rPr>
                <w:rFonts w:cs="Times New Roman"/>
                <w:sz w:val="18"/>
                <w:szCs w:val="18"/>
              </w:rPr>
              <w:t xml:space="preserve"> and human security</w:t>
            </w:r>
          </w:p>
        </w:tc>
        <w:tc>
          <w:tcPr>
            <w:tcW w:w="2976" w:type="dxa"/>
          </w:tcPr>
          <w:p w:rsidR="00AF5972" w:rsidRPr="00FB41B3" w:rsidRDefault="00AF5972" w:rsidP="00CA1757">
            <w:pPr>
              <w:spacing w:line="276" w:lineRule="auto"/>
              <w:rPr>
                <w:rFonts w:cs="Times New Roman"/>
                <w:sz w:val="18"/>
                <w:szCs w:val="18"/>
              </w:rPr>
            </w:pPr>
            <w:r>
              <w:rPr>
                <w:rFonts w:cs="Times New Roman"/>
                <w:sz w:val="18"/>
                <w:szCs w:val="18"/>
              </w:rPr>
              <w:t>1.1.3 Key knowledge product developed that includes: a</w:t>
            </w:r>
            <w:r w:rsidRPr="00CA1757">
              <w:rPr>
                <w:rFonts w:cs="Times New Roman"/>
                <w:sz w:val="18"/>
                <w:szCs w:val="18"/>
              </w:rPr>
              <w:t xml:space="preserve">dapt the UN SSR guidance notes for the Pacific </w:t>
            </w:r>
            <w:r>
              <w:rPr>
                <w:rFonts w:cs="Times New Roman"/>
                <w:sz w:val="18"/>
                <w:szCs w:val="18"/>
              </w:rPr>
              <w:t>context and potentially</w:t>
            </w:r>
            <w:r w:rsidRPr="00CA1757">
              <w:rPr>
                <w:rFonts w:cs="Times New Roman"/>
                <w:sz w:val="18"/>
                <w:szCs w:val="18"/>
              </w:rPr>
              <w:t xml:space="preserve"> update the 2010 previous knowledge product of ‘Enhancing Security Sector Governance in the Pacific</w:t>
            </w:r>
            <w:r>
              <w:rPr>
                <w:rFonts w:cs="Times New Roman"/>
                <w:sz w:val="18"/>
                <w:szCs w:val="18"/>
              </w:rPr>
              <w:t xml:space="preserve"> Region: A strategic framework’ to reflect developments over the past five years and linked to the post-2015 agenda.</w:t>
            </w:r>
          </w:p>
        </w:tc>
        <w:tc>
          <w:tcPr>
            <w:tcW w:w="2127" w:type="dxa"/>
          </w:tcPr>
          <w:p w:rsidR="00AF5972" w:rsidRDefault="00AF5972" w:rsidP="00F916CA">
            <w:pPr>
              <w:spacing w:line="276" w:lineRule="auto"/>
              <w:rPr>
                <w:sz w:val="18"/>
                <w:szCs w:val="18"/>
              </w:rPr>
            </w:pPr>
            <w:r w:rsidRPr="00FB41B3">
              <w:rPr>
                <w:sz w:val="18"/>
                <w:szCs w:val="18"/>
              </w:rPr>
              <w:t xml:space="preserve"># </w:t>
            </w:r>
            <w:r>
              <w:rPr>
                <w:sz w:val="18"/>
                <w:szCs w:val="18"/>
              </w:rPr>
              <w:t xml:space="preserve">knowledge products </w:t>
            </w:r>
          </w:p>
          <w:p w:rsidR="00AF5972" w:rsidRPr="00FB41B3" w:rsidRDefault="00AF5972" w:rsidP="00F916CA">
            <w:pPr>
              <w:spacing w:line="276" w:lineRule="auto"/>
              <w:rPr>
                <w:sz w:val="18"/>
                <w:szCs w:val="18"/>
              </w:rPr>
            </w:pPr>
            <w:r>
              <w:rPr>
                <w:sz w:val="18"/>
                <w:szCs w:val="18"/>
              </w:rPr>
              <w:t xml:space="preserve"># contributors (M/F) </w:t>
            </w:r>
          </w:p>
          <w:p w:rsidR="00AF5972" w:rsidRPr="00FB41B3" w:rsidRDefault="00AF5972" w:rsidP="00F916CA">
            <w:pPr>
              <w:spacing w:line="276" w:lineRule="auto"/>
              <w:rPr>
                <w:sz w:val="18"/>
                <w:szCs w:val="18"/>
              </w:rPr>
            </w:pPr>
          </w:p>
        </w:tc>
        <w:tc>
          <w:tcPr>
            <w:tcW w:w="2409" w:type="dxa"/>
          </w:tcPr>
          <w:p w:rsidR="00AF5972" w:rsidRPr="00FB41B3" w:rsidRDefault="00AF5972" w:rsidP="00F916CA">
            <w:pPr>
              <w:spacing w:line="276" w:lineRule="auto"/>
              <w:rPr>
                <w:rFonts w:cs="Tahoma"/>
                <w:sz w:val="18"/>
                <w:szCs w:val="18"/>
                <w:lang w:val="en-GB"/>
              </w:rPr>
            </w:pP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In kind</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620"/>
        </w:trPr>
        <w:tc>
          <w:tcPr>
            <w:tcW w:w="1980" w:type="dxa"/>
            <w:vMerge w:val="restart"/>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1.2 Awareness and capacity for democratic security sector oversight enhanced in the PICs </w:t>
            </w:r>
          </w:p>
        </w:tc>
        <w:tc>
          <w:tcPr>
            <w:tcW w:w="2410" w:type="dxa"/>
          </w:tcPr>
          <w:p w:rsidR="00AF5972" w:rsidRPr="00FB41B3" w:rsidRDefault="00AF5972" w:rsidP="00F916CA">
            <w:pPr>
              <w:pStyle w:val="ListParagraph"/>
              <w:numPr>
                <w:ilvl w:val="0"/>
                <w:numId w:val="20"/>
              </w:numPr>
              <w:spacing w:line="276" w:lineRule="auto"/>
              <w:rPr>
                <w:rFonts w:cs="Tahoma"/>
                <w:sz w:val="18"/>
                <w:szCs w:val="18"/>
                <w:lang w:val="en-GB"/>
              </w:rPr>
            </w:pPr>
            <w:r w:rsidRPr="00FB41B3">
              <w:rPr>
                <w:sz w:val="18"/>
                <w:szCs w:val="18"/>
              </w:rPr>
              <w:t>PIF is able to train and convene major stakeholders, including the civil society and the public, to promote more effective and democratic security sector oversight in the PICs</w:t>
            </w:r>
          </w:p>
          <w:p w:rsidR="00AF5972" w:rsidRPr="00744C98" w:rsidRDefault="00AF5972" w:rsidP="00744C98">
            <w:pPr>
              <w:spacing w:line="276" w:lineRule="auto"/>
              <w:rPr>
                <w:rFonts w:cs="Tahoma"/>
                <w:sz w:val="18"/>
                <w:szCs w:val="18"/>
                <w:lang w:val="en-GB"/>
              </w:rPr>
            </w:pPr>
          </w:p>
        </w:tc>
        <w:tc>
          <w:tcPr>
            <w:tcW w:w="2976" w:type="dxa"/>
          </w:tcPr>
          <w:p w:rsidR="00AF5972" w:rsidRPr="00FB41B3" w:rsidRDefault="00AF5972" w:rsidP="00F916CA">
            <w:pPr>
              <w:tabs>
                <w:tab w:val="left" w:pos="7125"/>
              </w:tabs>
              <w:spacing w:after="60" w:line="276" w:lineRule="auto"/>
              <w:rPr>
                <w:rFonts w:cs="Tahoma"/>
                <w:b/>
                <w:sz w:val="18"/>
                <w:szCs w:val="18"/>
                <w:lang w:val="en-GB"/>
              </w:rPr>
            </w:pPr>
            <w:r>
              <w:rPr>
                <w:rFonts w:cs="Tahoma"/>
                <w:sz w:val="18"/>
                <w:szCs w:val="18"/>
                <w:lang w:val="en-GB"/>
              </w:rPr>
              <w:t xml:space="preserve">1.2.1 </w:t>
            </w:r>
            <w:r w:rsidRPr="00FB41B3">
              <w:rPr>
                <w:rFonts w:cs="Tahoma"/>
                <w:sz w:val="18"/>
                <w:szCs w:val="18"/>
                <w:lang w:val="en-GB"/>
              </w:rPr>
              <w:t>Training extended to the PIF secretariat on effective democratic and civilian oversight in the  security sector (in particular in relation to the development of the security policies</w:t>
            </w:r>
            <w:r>
              <w:rPr>
                <w:rFonts w:cs="Tahoma"/>
                <w:sz w:val="18"/>
                <w:szCs w:val="18"/>
                <w:lang w:val="en-GB"/>
              </w:rPr>
              <w:t xml:space="preserve"> and community security</w:t>
            </w:r>
            <w:r w:rsidRPr="00FB41B3">
              <w:rPr>
                <w:rFonts w:cs="Tahoma"/>
                <w:sz w:val="18"/>
                <w:szCs w:val="18"/>
                <w:lang w:val="en-GB"/>
              </w:rPr>
              <w:t>)</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persons trained (M/F) from all the different sectors</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SOPs developed for the PIF to continue consulting, sensitizing and training multiple stakeholders across the region</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Existing data on oversight in the region </w:t>
            </w:r>
          </w:p>
        </w:tc>
        <w:tc>
          <w:tcPr>
            <w:tcW w:w="1048" w:type="dxa"/>
          </w:tcPr>
          <w:p w:rsidR="00AF5972" w:rsidRDefault="00AF5972" w:rsidP="00F916CA">
            <w:pPr>
              <w:spacing w:line="276" w:lineRule="auto"/>
              <w:rPr>
                <w:rFonts w:cs="Tahoma"/>
                <w:sz w:val="18"/>
                <w:szCs w:val="18"/>
                <w:lang w:val="en-GB"/>
              </w:rPr>
            </w:pPr>
          </w:p>
        </w:tc>
        <w:tc>
          <w:tcPr>
            <w:tcW w:w="1048" w:type="dxa"/>
          </w:tcPr>
          <w:p w:rsidR="00AF5972" w:rsidRPr="00FB41B3" w:rsidRDefault="007A4DE9" w:rsidP="00F916CA">
            <w:pPr>
              <w:spacing w:line="276" w:lineRule="auto"/>
              <w:rPr>
                <w:rFonts w:cs="Tahoma"/>
                <w:sz w:val="18"/>
                <w:szCs w:val="18"/>
                <w:lang w:val="en-GB"/>
              </w:rPr>
            </w:pPr>
            <w:r>
              <w:rPr>
                <w:rFonts w:cs="Tahoma"/>
                <w:sz w:val="18"/>
                <w:szCs w:val="18"/>
                <w:lang w:val="en-GB"/>
              </w:rPr>
              <w:t>15,</w:t>
            </w:r>
            <w:r w:rsidR="00AF5972">
              <w:rPr>
                <w:rFonts w:cs="Tahoma"/>
                <w:sz w:val="18"/>
                <w:szCs w:val="18"/>
                <w:lang w:val="en-GB"/>
              </w:rPr>
              <w:t>000</w:t>
            </w:r>
          </w:p>
        </w:tc>
      </w:tr>
      <w:tr w:rsidR="00AF5972" w:rsidRPr="00FB41B3" w:rsidTr="0034419D">
        <w:trPr>
          <w:trHeight w:val="1669"/>
        </w:trPr>
        <w:tc>
          <w:tcPr>
            <w:tcW w:w="1980" w:type="dxa"/>
            <w:vMerge/>
          </w:tcPr>
          <w:p w:rsidR="00AF5972" w:rsidRPr="00FB41B3" w:rsidRDefault="00AF5972" w:rsidP="00F916CA">
            <w:pPr>
              <w:spacing w:line="276" w:lineRule="auto"/>
              <w:rPr>
                <w:rFonts w:cs="Tahoma"/>
                <w:b/>
                <w:sz w:val="18"/>
                <w:szCs w:val="18"/>
                <w:lang w:val="en-GB"/>
              </w:rPr>
            </w:pPr>
          </w:p>
        </w:tc>
        <w:tc>
          <w:tcPr>
            <w:tcW w:w="2410" w:type="dxa"/>
          </w:tcPr>
          <w:p w:rsidR="00AF5972" w:rsidRPr="00744C98" w:rsidRDefault="00AF5972" w:rsidP="00744C98">
            <w:pPr>
              <w:pStyle w:val="ListParagraph"/>
              <w:numPr>
                <w:ilvl w:val="0"/>
                <w:numId w:val="45"/>
              </w:numPr>
              <w:spacing w:line="276" w:lineRule="auto"/>
              <w:rPr>
                <w:rFonts w:cs="Tahoma"/>
                <w:sz w:val="18"/>
                <w:szCs w:val="18"/>
                <w:lang w:val="en-GB"/>
              </w:rPr>
            </w:pPr>
            <w:r w:rsidRPr="00744C98">
              <w:rPr>
                <w:sz w:val="18"/>
                <w:szCs w:val="18"/>
              </w:rPr>
              <w:t>Stakeholders have more clarity on the roles and responsibilities of the executive, legislative, judiciary, media and civil society in security sector oversight. This includes a better understanding of drivers of corruption and impunity issues in the security and justice sectors to enable them to provide more effective oversight and demand accountability</w:t>
            </w:r>
          </w:p>
        </w:tc>
        <w:tc>
          <w:tcPr>
            <w:tcW w:w="2976" w:type="dxa"/>
          </w:tcPr>
          <w:p w:rsidR="00AF5972" w:rsidRPr="00FB41B3" w:rsidRDefault="00AF5972" w:rsidP="00F916CA">
            <w:pPr>
              <w:tabs>
                <w:tab w:val="left" w:pos="7125"/>
              </w:tabs>
              <w:spacing w:after="60" w:line="276" w:lineRule="auto"/>
              <w:rPr>
                <w:rFonts w:cs="Tahoma"/>
                <w:sz w:val="18"/>
                <w:szCs w:val="18"/>
                <w:lang w:val="en-GB"/>
              </w:rPr>
            </w:pPr>
            <w:r>
              <w:rPr>
                <w:rFonts w:cs="Tahoma"/>
                <w:sz w:val="18"/>
                <w:szCs w:val="18"/>
                <w:lang w:val="en-GB"/>
              </w:rPr>
              <w:t xml:space="preserve">1.2.2 </w:t>
            </w:r>
            <w:r w:rsidRPr="00FB41B3">
              <w:rPr>
                <w:rFonts w:cs="Tahoma"/>
                <w:sz w:val="18"/>
                <w:szCs w:val="18"/>
                <w:lang w:val="en-GB"/>
              </w:rPr>
              <w:t>Government personnel from key institutions, parliamentarians and multiple civil society actors from the PICs are sensitized and trained on their respective roles in providing oversight of the security sector (PIF leads the training)</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persons trained (M/F) from all the different sectors</w:t>
            </w:r>
          </w:p>
          <w:p w:rsidR="00AF5972" w:rsidRPr="00FB41B3" w:rsidRDefault="00AF5972" w:rsidP="00F916CA">
            <w:pPr>
              <w:spacing w:line="276" w:lineRule="auto"/>
              <w:rPr>
                <w:rFonts w:cs="Times New Roman"/>
                <w:sz w:val="18"/>
                <w:szCs w:val="18"/>
              </w:rPr>
            </w:pPr>
            <w:r w:rsidRPr="00FB41B3">
              <w:rPr>
                <w:rFonts w:cs="Times New Roman"/>
                <w:sz w:val="18"/>
                <w:szCs w:val="18"/>
              </w:rPr>
              <w:t># consultation forums to promote public participation in these trainings and discussions/policy making</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Overview of the existing mechanisms in the PICs and their effectiveness (national statistical data collection)</w:t>
            </w:r>
          </w:p>
        </w:tc>
        <w:tc>
          <w:tcPr>
            <w:tcW w:w="1048" w:type="dxa"/>
          </w:tcPr>
          <w:p w:rsidR="00AF5972" w:rsidRDefault="00AF5972" w:rsidP="00F916CA">
            <w:pPr>
              <w:spacing w:line="276" w:lineRule="auto"/>
              <w:rPr>
                <w:rFonts w:cs="Tahoma"/>
                <w:sz w:val="18"/>
                <w:szCs w:val="18"/>
                <w:lang w:val="en-GB"/>
              </w:rPr>
            </w:pPr>
          </w:p>
        </w:tc>
        <w:tc>
          <w:tcPr>
            <w:tcW w:w="1048" w:type="dxa"/>
          </w:tcPr>
          <w:p w:rsidR="00AF5972" w:rsidRPr="00FB41B3" w:rsidRDefault="00AF5972" w:rsidP="00F916CA">
            <w:pPr>
              <w:spacing w:line="276" w:lineRule="auto"/>
              <w:rPr>
                <w:rFonts w:cs="Tahoma"/>
                <w:sz w:val="18"/>
                <w:szCs w:val="18"/>
                <w:lang w:val="en-GB"/>
              </w:rPr>
            </w:pPr>
            <w:r>
              <w:rPr>
                <w:rFonts w:cs="Tahoma"/>
                <w:sz w:val="18"/>
                <w:szCs w:val="18"/>
                <w:lang w:val="en-GB"/>
              </w:rPr>
              <w:t>17,210</w:t>
            </w:r>
          </w:p>
        </w:tc>
      </w:tr>
      <w:tr w:rsidR="00AF5972" w:rsidRPr="00FB41B3" w:rsidTr="0034419D">
        <w:trPr>
          <w:trHeight w:val="1669"/>
        </w:trPr>
        <w:tc>
          <w:tcPr>
            <w:tcW w:w="1980" w:type="dxa"/>
            <w:vMerge w:val="restart"/>
          </w:tcPr>
          <w:p w:rsidR="00AF5972" w:rsidRPr="00FB41B3" w:rsidRDefault="00AF5972" w:rsidP="00F916CA">
            <w:pPr>
              <w:spacing w:line="276" w:lineRule="auto"/>
              <w:rPr>
                <w:rFonts w:cs="Tahoma"/>
                <w:b/>
                <w:sz w:val="18"/>
                <w:szCs w:val="18"/>
                <w:lang w:val="en-GB"/>
              </w:rPr>
            </w:pPr>
            <w:r w:rsidRPr="00FB41B3">
              <w:rPr>
                <w:rFonts w:cs="Tahoma"/>
                <w:sz w:val="18"/>
                <w:szCs w:val="18"/>
                <w:lang w:val="en-GB"/>
              </w:rPr>
              <w:t>1.3</w:t>
            </w:r>
            <w:r w:rsidRPr="00FB41B3">
              <w:rPr>
                <w:rFonts w:cs="Tahoma"/>
                <w:b/>
                <w:sz w:val="18"/>
                <w:szCs w:val="18"/>
                <w:lang w:val="en-GB"/>
              </w:rPr>
              <w:t xml:space="preserve"> </w:t>
            </w:r>
            <w:r w:rsidRPr="00FB41B3">
              <w:rPr>
                <w:rFonts w:cs="Tahoma"/>
                <w:sz w:val="18"/>
                <w:szCs w:val="18"/>
                <w:lang w:val="en-GB"/>
              </w:rPr>
              <w:t>Security sector incorporates gender and youth policies that will have a direct impact in enhancing the safety of women and prevention measures targeting youth across the PICs</w:t>
            </w:r>
          </w:p>
        </w:tc>
        <w:tc>
          <w:tcPr>
            <w:tcW w:w="2410" w:type="dxa"/>
            <w:vMerge w:val="restart"/>
          </w:tcPr>
          <w:p w:rsidR="00AF5972" w:rsidRPr="00FB41B3" w:rsidRDefault="00AF5972" w:rsidP="00F916CA">
            <w:pPr>
              <w:pStyle w:val="ListParagraph"/>
              <w:numPr>
                <w:ilvl w:val="0"/>
                <w:numId w:val="19"/>
              </w:numPr>
              <w:spacing w:line="276" w:lineRule="auto"/>
              <w:rPr>
                <w:rFonts w:cs="Times New Roman"/>
                <w:sz w:val="18"/>
                <w:szCs w:val="18"/>
              </w:rPr>
            </w:pPr>
            <w:r w:rsidRPr="00FB41B3">
              <w:rPr>
                <w:rFonts w:cs="Times New Roman"/>
                <w:sz w:val="18"/>
                <w:szCs w:val="18"/>
              </w:rPr>
              <w:t xml:space="preserve">Women’s participation and influence in the formulation of national security policies and security governance is increased significantly to improve safety for women in the region </w:t>
            </w:r>
          </w:p>
          <w:p w:rsidR="00AF5972" w:rsidRPr="00FB41B3" w:rsidRDefault="00AF5972" w:rsidP="00F916CA">
            <w:pPr>
              <w:pStyle w:val="ListParagraph"/>
              <w:numPr>
                <w:ilvl w:val="0"/>
                <w:numId w:val="19"/>
              </w:numPr>
              <w:spacing w:line="276" w:lineRule="auto"/>
              <w:rPr>
                <w:rFonts w:cs="Times New Roman"/>
                <w:sz w:val="18"/>
                <w:szCs w:val="18"/>
              </w:rPr>
            </w:pPr>
            <w:r w:rsidRPr="00FB41B3">
              <w:rPr>
                <w:rFonts w:eastAsia="Times New Roman" w:cs="Times New Roman"/>
                <w:color w:val="000000"/>
                <w:sz w:val="18"/>
                <w:szCs w:val="18"/>
                <w:lang w:val="en-GB"/>
              </w:rPr>
              <w:t>Governance approaches strongly aligned with Pacific human security framework for national security policy formulation.</w:t>
            </w:r>
          </w:p>
          <w:p w:rsidR="00AF5972" w:rsidRPr="00FB41B3" w:rsidRDefault="00AF5972" w:rsidP="00F916CA">
            <w:pPr>
              <w:pStyle w:val="ListParagraph"/>
              <w:numPr>
                <w:ilvl w:val="0"/>
                <w:numId w:val="19"/>
              </w:numPr>
              <w:spacing w:line="276" w:lineRule="auto"/>
              <w:rPr>
                <w:rFonts w:cs="Times New Roman"/>
                <w:sz w:val="18"/>
                <w:szCs w:val="18"/>
              </w:rPr>
            </w:pPr>
            <w:r w:rsidRPr="00FB41B3">
              <w:rPr>
                <w:rFonts w:cs="Times New Roman"/>
                <w:sz w:val="18"/>
                <w:szCs w:val="18"/>
              </w:rPr>
              <w:t>Target country governments are committed to integrating RAP on 1325 and the Pacific Human Security Framework into their security policies and governance</w:t>
            </w:r>
          </w:p>
          <w:p w:rsidR="00AF5972" w:rsidRPr="00FB41B3" w:rsidRDefault="00AF5972" w:rsidP="00F916CA">
            <w:pPr>
              <w:pStyle w:val="ListParagraph"/>
              <w:numPr>
                <w:ilvl w:val="0"/>
                <w:numId w:val="19"/>
              </w:numPr>
              <w:spacing w:line="276" w:lineRule="auto"/>
              <w:rPr>
                <w:rFonts w:cs="Times New Roman"/>
                <w:sz w:val="18"/>
                <w:szCs w:val="18"/>
              </w:rPr>
            </w:pPr>
            <w:r w:rsidRPr="00FB41B3">
              <w:rPr>
                <w:rFonts w:cs="Times New Roman"/>
                <w:sz w:val="18"/>
                <w:szCs w:val="18"/>
              </w:rPr>
              <w:t>Youth is increasingly empowered and brought into consultation and into the discussions on human security, community human rights, rule of law and human rights</w:t>
            </w:r>
          </w:p>
        </w:tc>
        <w:tc>
          <w:tcPr>
            <w:tcW w:w="2976" w:type="dxa"/>
          </w:tcPr>
          <w:p w:rsidR="00AF5972" w:rsidRPr="00FB41B3" w:rsidRDefault="00AF5972" w:rsidP="00F916CA">
            <w:pPr>
              <w:tabs>
                <w:tab w:val="left" w:pos="7125"/>
              </w:tabs>
              <w:spacing w:after="60" w:line="276" w:lineRule="auto"/>
              <w:rPr>
                <w:rFonts w:cs="Times New Roman"/>
                <w:sz w:val="18"/>
                <w:szCs w:val="18"/>
                <w:lang w:val="en-GB"/>
              </w:rPr>
            </w:pPr>
            <w:r>
              <w:rPr>
                <w:rFonts w:eastAsia="Times New Roman" w:cs="Times New Roman"/>
                <w:color w:val="000000"/>
                <w:sz w:val="18"/>
                <w:szCs w:val="18"/>
                <w:lang w:val="en-GB"/>
              </w:rPr>
              <w:t xml:space="preserve">1.3.1 </w:t>
            </w:r>
            <w:r w:rsidRPr="00FB41B3">
              <w:rPr>
                <w:rFonts w:eastAsia="Times New Roman" w:cs="Times New Roman"/>
                <w:color w:val="000000"/>
                <w:sz w:val="18"/>
                <w:szCs w:val="18"/>
                <w:lang w:val="en-GB"/>
              </w:rPr>
              <w:t xml:space="preserve">Conduct mapping and diagnostic consultations with women groups, local communities and civil society organisations to generate interest in </w:t>
            </w:r>
            <w:r w:rsidRPr="00CA1757">
              <w:rPr>
                <w:rFonts w:eastAsia="Times New Roman" w:cs="Times New Roman"/>
                <w:color w:val="000000"/>
                <w:sz w:val="18"/>
                <w:szCs w:val="18"/>
                <w:lang w:val="en-GB"/>
              </w:rPr>
              <w:t xml:space="preserve">contemporary Security Sector Governance and produce </w:t>
            </w:r>
            <w:r w:rsidRPr="00CA1757">
              <w:rPr>
                <w:rFonts w:cs="Times New Roman"/>
                <w:sz w:val="18"/>
                <w:szCs w:val="18"/>
              </w:rPr>
              <w:t xml:space="preserve">on </w:t>
            </w:r>
            <w:r>
              <w:rPr>
                <w:rFonts w:cs="Times New Roman"/>
                <w:sz w:val="18"/>
                <w:szCs w:val="18"/>
              </w:rPr>
              <w:t>best practice analysis</w:t>
            </w:r>
            <w:r w:rsidRPr="00CA1757">
              <w:rPr>
                <w:rFonts w:cs="Times New Roman"/>
                <w:sz w:val="18"/>
                <w:szCs w:val="18"/>
              </w:rPr>
              <w:t xml:space="preserve"> for a gendered security sector governance in the Pacific Region</w:t>
            </w:r>
            <w:r>
              <w:rPr>
                <w:rFonts w:cs="Times New Roman"/>
                <w:sz w:val="18"/>
                <w:szCs w:val="18"/>
              </w:rPr>
              <w:t xml:space="preserve">  </w:t>
            </w:r>
            <w:r>
              <w:rPr>
                <w:rFonts w:cs="Tahoma"/>
                <w:sz w:val="18"/>
                <w:szCs w:val="18"/>
                <w:lang w:val="en-GB"/>
              </w:rPr>
              <w:t>(To be undertaken in conjunction with 1.1.1) (UN Women partnership)</w:t>
            </w:r>
          </w:p>
        </w:tc>
        <w:tc>
          <w:tcPr>
            <w:tcW w:w="2127" w:type="dxa"/>
          </w:tcPr>
          <w:p w:rsidR="00AF5972" w:rsidRDefault="00AF5972" w:rsidP="00F916CA">
            <w:pPr>
              <w:spacing w:line="276" w:lineRule="auto"/>
              <w:rPr>
                <w:rFonts w:cs="Times New Roman"/>
                <w:sz w:val="18"/>
                <w:szCs w:val="18"/>
              </w:rPr>
            </w:pPr>
            <w:r w:rsidRPr="00FB41B3">
              <w:rPr>
                <w:rFonts w:cs="Times New Roman"/>
                <w:sz w:val="18"/>
                <w:szCs w:val="18"/>
              </w:rPr>
              <w:t>Number of women’s groups mapped and participating in the workshops</w:t>
            </w:r>
          </w:p>
          <w:p w:rsidR="00AF5972" w:rsidRDefault="00AF5972" w:rsidP="00F916CA">
            <w:pPr>
              <w:spacing w:line="276" w:lineRule="auto"/>
              <w:rPr>
                <w:rFonts w:cs="Times New Roman"/>
                <w:sz w:val="18"/>
                <w:szCs w:val="18"/>
              </w:rPr>
            </w:pPr>
          </w:p>
          <w:p w:rsidR="00AF5972" w:rsidRPr="00FB41B3" w:rsidRDefault="00AF5972" w:rsidP="00F916CA">
            <w:pPr>
              <w:spacing w:line="276" w:lineRule="auto"/>
              <w:rPr>
                <w:rFonts w:cs="Times New Roman"/>
                <w:sz w:val="18"/>
                <w:szCs w:val="18"/>
              </w:rPr>
            </w:pPr>
            <w:r>
              <w:rPr>
                <w:rFonts w:cs="Times New Roman"/>
                <w:sz w:val="18"/>
                <w:szCs w:val="18"/>
              </w:rPr>
              <w:t>Document on best practices for a gendered security sector governance produced</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Any existing data available in the region (data is plenty but making sure the data is centralised to help with mapping is needed) </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Funds under 1.1.1</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1669"/>
        </w:trPr>
        <w:tc>
          <w:tcPr>
            <w:tcW w:w="1980" w:type="dxa"/>
            <w:vMerge/>
          </w:tcPr>
          <w:p w:rsidR="00AF5972" w:rsidRPr="00FB41B3" w:rsidRDefault="00AF5972" w:rsidP="00F916CA">
            <w:pPr>
              <w:spacing w:line="276" w:lineRule="auto"/>
              <w:rPr>
                <w:rFonts w:cs="Tahoma"/>
                <w:b/>
                <w:sz w:val="18"/>
                <w:szCs w:val="18"/>
                <w:lang w:val="en-GB"/>
              </w:rPr>
            </w:pPr>
          </w:p>
        </w:tc>
        <w:tc>
          <w:tcPr>
            <w:tcW w:w="2410" w:type="dxa"/>
            <w:vMerge/>
          </w:tcPr>
          <w:p w:rsidR="00AF5972" w:rsidRPr="00FB41B3" w:rsidRDefault="00AF5972" w:rsidP="00F916CA">
            <w:pPr>
              <w:spacing w:line="276" w:lineRule="auto"/>
              <w:rPr>
                <w:rFonts w:cs="Times New Roman"/>
                <w:sz w:val="18"/>
                <w:szCs w:val="18"/>
              </w:rPr>
            </w:pPr>
          </w:p>
        </w:tc>
        <w:tc>
          <w:tcPr>
            <w:tcW w:w="2976" w:type="dxa"/>
          </w:tcPr>
          <w:p w:rsidR="00AF5972" w:rsidRPr="00FB41B3" w:rsidRDefault="00AF5972" w:rsidP="00F916CA">
            <w:pPr>
              <w:tabs>
                <w:tab w:val="left" w:pos="7125"/>
              </w:tabs>
              <w:spacing w:after="60" w:line="276" w:lineRule="auto"/>
              <w:rPr>
                <w:rFonts w:eastAsia="Times New Roman" w:cs="Times New Roman"/>
                <w:color w:val="000000"/>
                <w:sz w:val="18"/>
                <w:szCs w:val="18"/>
                <w:lang w:val="en-GB"/>
              </w:rPr>
            </w:pPr>
          </w:p>
        </w:tc>
        <w:tc>
          <w:tcPr>
            <w:tcW w:w="2127" w:type="dxa"/>
          </w:tcPr>
          <w:p w:rsidR="00AF5972" w:rsidRPr="00FB41B3" w:rsidRDefault="00AF5972" w:rsidP="00F916CA">
            <w:pPr>
              <w:spacing w:line="276" w:lineRule="auto"/>
              <w:rPr>
                <w:rFonts w:cs="Times New Roman"/>
                <w:sz w:val="18"/>
                <w:szCs w:val="18"/>
              </w:rPr>
            </w:pPr>
          </w:p>
        </w:tc>
        <w:tc>
          <w:tcPr>
            <w:tcW w:w="2409" w:type="dxa"/>
          </w:tcPr>
          <w:p w:rsidR="00AF5972" w:rsidRPr="00FB41B3" w:rsidRDefault="00AF5972" w:rsidP="00F916CA">
            <w:pPr>
              <w:spacing w:line="276" w:lineRule="auto"/>
              <w:rPr>
                <w:rFonts w:cs="Tahoma"/>
                <w:sz w:val="18"/>
                <w:szCs w:val="18"/>
                <w:lang w:val="en-GB"/>
              </w:rPr>
            </w:pPr>
          </w:p>
        </w:tc>
        <w:tc>
          <w:tcPr>
            <w:tcW w:w="1048" w:type="dxa"/>
          </w:tcPr>
          <w:p w:rsidR="00AF5972" w:rsidRPr="00FB41B3" w:rsidRDefault="00AF5972" w:rsidP="00F916CA">
            <w:pPr>
              <w:spacing w:line="276" w:lineRule="auto"/>
              <w:rPr>
                <w:rFonts w:cs="Tahoma"/>
                <w:sz w:val="18"/>
                <w:szCs w:val="18"/>
                <w:lang w:val="en-GB"/>
              </w:rPr>
            </w:pP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80281A">
        <w:trPr>
          <w:trHeight w:val="1669"/>
        </w:trPr>
        <w:tc>
          <w:tcPr>
            <w:tcW w:w="1980" w:type="dxa"/>
            <w:vMerge/>
          </w:tcPr>
          <w:p w:rsidR="00AF5972" w:rsidRPr="00FB41B3" w:rsidRDefault="00AF5972" w:rsidP="00F916CA">
            <w:pPr>
              <w:spacing w:line="276" w:lineRule="auto"/>
              <w:rPr>
                <w:rFonts w:cs="Tahoma"/>
                <w:b/>
                <w:sz w:val="18"/>
                <w:szCs w:val="18"/>
                <w:lang w:val="en-GB"/>
              </w:rPr>
            </w:pPr>
          </w:p>
        </w:tc>
        <w:tc>
          <w:tcPr>
            <w:tcW w:w="2410" w:type="dxa"/>
            <w:vMerge/>
          </w:tcPr>
          <w:p w:rsidR="00AF5972" w:rsidRPr="00FB41B3" w:rsidRDefault="00AF5972" w:rsidP="00F916CA">
            <w:pPr>
              <w:spacing w:line="276" w:lineRule="auto"/>
              <w:rPr>
                <w:rFonts w:cs="Times New Roman"/>
                <w:sz w:val="18"/>
                <w:szCs w:val="18"/>
              </w:rPr>
            </w:pPr>
          </w:p>
        </w:tc>
        <w:tc>
          <w:tcPr>
            <w:tcW w:w="2976" w:type="dxa"/>
          </w:tcPr>
          <w:p w:rsidR="00AF5972" w:rsidRDefault="00AF5972" w:rsidP="00F916CA">
            <w:pPr>
              <w:tabs>
                <w:tab w:val="left" w:pos="7125"/>
              </w:tabs>
              <w:spacing w:after="60" w:line="276" w:lineRule="auto"/>
              <w:rPr>
                <w:rFonts w:cs="Times New Roman"/>
                <w:sz w:val="18"/>
                <w:szCs w:val="18"/>
              </w:rPr>
            </w:pPr>
            <w:r>
              <w:rPr>
                <w:rFonts w:cs="Times New Roman"/>
                <w:sz w:val="18"/>
                <w:szCs w:val="18"/>
              </w:rPr>
              <w:t xml:space="preserve">1.3.2 </w:t>
            </w:r>
            <w:r w:rsidRPr="00FB41B3">
              <w:rPr>
                <w:rFonts w:cs="Times New Roman"/>
                <w:sz w:val="18"/>
                <w:szCs w:val="18"/>
              </w:rPr>
              <w:t>Produce a series of country level and regional recommendations to support integration of human security and the Regional Action Plan on women peace and security (UNSCR1325) into the national development and budget plans including identifying local governance processes for ongoing engagement and strengthening of the regional CSO spaces in the Pacific Region.</w:t>
            </w:r>
            <w:r>
              <w:rPr>
                <w:rFonts w:cs="Times New Roman"/>
                <w:sz w:val="18"/>
                <w:szCs w:val="18"/>
              </w:rPr>
              <w:t xml:space="preserve"> </w:t>
            </w:r>
            <w:r>
              <w:rPr>
                <w:rFonts w:cs="Tahoma"/>
                <w:sz w:val="18"/>
                <w:szCs w:val="18"/>
                <w:lang w:val="en-GB"/>
              </w:rPr>
              <w:t>(To be undertaken in conjunction with 1.1.1) (UN Women partnership)</w:t>
            </w:r>
          </w:p>
          <w:p w:rsidR="00AF5972" w:rsidRDefault="00AF5972" w:rsidP="00F916CA">
            <w:pPr>
              <w:tabs>
                <w:tab w:val="left" w:pos="7125"/>
              </w:tabs>
              <w:spacing w:after="60" w:line="276" w:lineRule="auto"/>
              <w:rPr>
                <w:rFonts w:cs="Times New Roman"/>
                <w:sz w:val="18"/>
                <w:szCs w:val="18"/>
              </w:rPr>
            </w:pPr>
          </w:p>
          <w:p w:rsidR="00AF5972" w:rsidRPr="00FB41B3" w:rsidRDefault="00AF5972" w:rsidP="00F916CA">
            <w:pPr>
              <w:tabs>
                <w:tab w:val="left" w:pos="7125"/>
              </w:tabs>
              <w:spacing w:after="60" w:line="276" w:lineRule="auto"/>
              <w:rPr>
                <w:rFonts w:cs="Times New Roman"/>
                <w:sz w:val="18"/>
                <w:szCs w:val="18"/>
                <w:lang w:val="en-GB"/>
              </w:rPr>
            </w:pPr>
          </w:p>
        </w:tc>
        <w:tc>
          <w:tcPr>
            <w:tcW w:w="2127" w:type="dxa"/>
          </w:tcPr>
          <w:p w:rsidR="00AF5972" w:rsidRPr="00FB41B3" w:rsidRDefault="00AF5972" w:rsidP="00F916CA">
            <w:pPr>
              <w:spacing w:line="276" w:lineRule="auto"/>
              <w:rPr>
                <w:rFonts w:cs="Times New Roman"/>
                <w:sz w:val="18"/>
                <w:szCs w:val="18"/>
              </w:rPr>
            </w:pPr>
            <w:r w:rsidRPr="00FB41B3">
              <w:rPr>
                <w:rFonts w:cs="Times New Roman"/>
                <w:sz w:val="18"/>
                <w:szCs w:val="18"/>
              </w:rPr>
              <w:t># recommendations made at regional and governmental levels</w:t>
            </w:r>
          </w:p>
          <w:p w:rsidR="00AF5972" w:rsidRPr="00FB41B3" w:rsidRDefault="00AF5972" w:rsidP="00F916CA">
            <w:pPr>
              <w:spacing w:line="276" w:lineRule="auto"/>
              <w:rPr>
                <w:rFonts w:cs="Times New Roman"/>
                <w:sz w:val="18"/>
                <w:szCs w:val="18"/>
              </w:rPr>
            </w:pPr>
            <w:r w:rsidRPr="00FB41B3">
              <w:rPr>
                <w:rFonts w:cs="Times New Roman"/>
                <w:sz w:val="18"/>
                <w:szCs w:val="18"/>
              </w:rPr>
              <w:t># recommendations introduced into national plans</w:t>
            </w:r>
          </w:p>
        </w:tc>
        <w:tc>
          <w:tcPr>
            <w:tcW w:w="2409" w:type="dxa"/>
          </w:tcPr>
          <w:p w:rsidR="00AF5972" w:rsidRDefault="00AF5972" w:rsidP="00F916CA">
            <w:pPr>
              <w:spacing w:line="276" w:lineRule="auto"/>
              <w:rPr>
                <w:rFonts w:cs="Tahoma"/>
                <w:sz w:val="18"/>
                <w:szCs w:val="18"/>
                <w:lang w:val="en-GB"/>
              </w:rPr>
            </w:pPr>
            <w:r>
              <w:rPr>
                <w:rFonts w:cs="Tahoma"/>
                <w:sz w:val="18"/>
                <w:szCs w:val="18"/>
                <w:lang w:val="en-GB"/>
              </w:rPr>
              <w:t>Country development plans and frameworks</w:t>
            </w:r>
          </w:p>
          <w:p w:rsidR="00AF5972" w:rsidRPr="00FB41B3" w:rsidRDefault="00AF5972" w:rsidP="00F916CA">
            <w:pPr>
              <w:spacing w:line="276" w:lineRule="auto"/>
              <w:rPr>
                <w:rFonts w:cs="Tahoma"/>
                <w:sz w:val="18"/>
                <w:szCs w:val="18"/>
                <w:lang w:val="en-GB"/>
              </w:rPr>
            </w:pPr>
            <w:r>
              <w:rPr>
                <w:rFonts w:cs="Tahoma"/>
                <w:sz w:val="18"/>
                <w:szCs w:val="18"/>
                <w:lang w:val="en-GB"/>
              </w:rPr>
              <w:t>Forum Secretariat Reports</w:t>
            </w:r>
          </w:p>
        </w:tc>
        <w:tc>
          <w:tcPr>
            <w:tcW w:w="1048" w:type="dxa"/>
          </w:tcPr>
          <w:p w:rsidR="00AF5972" w:rsidRDefault="00AF5972" w:rsidP="00AF5972">
            <w:pPr>
              <w:spacing w:line="276" w:lineRule="auto"/>
              <w:rPr>
                <w:rFonts w:cs="Tahoma"/>
                <w:sz w:val="18"/>
                <w:szCs w:val="18"/>
                <w:lang w:val="en-GB"/>
              </w:rPr>
            </w:pPr>
            <w:r>
              <w:rPr>
                <w:rFonts w:cs="Tahoma"/>
                <w:sz w:val="18"/>
                <w:szCs w:val="18"/>
                <w:lang w:val="en-GB"/>
              </w:rPr>
              <w:t>Funds under 1.1.1</w:t>
            </w:r>
          </w:p>
          <w:p w:rsidR="00AF5972" w:rsidRDefault="00AF5972" w:rsidP="00F916CA">
            <w:pPr>
              <w:spacing w:line="276" w:lineRule="auto"/>
              <w:rPr>
                <w:rFonts w:cs="Tahoma"/>
                <w:sz w:val="18"/>
                <w:szCs w:val="18"/>
                <w:lang w:val="en-GB"/>
              </w:rPr>
            </w:pP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5</w:t>
            </w:r>
            <w:r w:rsidR="006E382F">
              <w:rPr>
                <w:rFonts w:cs="Tahoma"/>
                <w:sz w:val="18"/>
                <w:szCs w:val="18"/>
                <w:lang w:val="en-GB"/>
              </w:rPr>
              <w:t>,592</w:t>
            </w:r>
          </w:p>
          <w:p w:rsidR="00AF5972" w:rsidRPr="00FB41B3" w:rsidRDefault="00AF5972" w:rsidP="00F916CA">
            <w:pPr>
              <w:spacing w:line="276" w:lineRule="auto"/>
              <w:rPr>
                <w:rFonts w:cs="Tahoma"/>
                <w:sz w:val="18"/>
                <w:szCs w:val="18"/>
                <w:lang w:val="en-GB"/>
              </w:rPr>
            </w:pPr>
            <w:r>
              <w:rPr>
                <w:rFonts w:cs="Tahoma"/>
                <w:sz w:val="18"/>
                <w:szCs w:val="18"/>
                <w:lang w:val="en-GB"/>
              </w:rPr>
              <w:t>(done in parallel to 1.1.1)</w:t>
            </w:r>
          </w:p>
        </w:tc>
      </w:tr>
      <w:tr w:rsidR="00AF5972" w:rsidRPr="00FB41B3" w:rsidTr="0034419D">
        <w:trPr>
          <w:trHeight w:val="995"/>
        </w:trPr>
        <w:tc>
          <w:tcPr>
            <w:tcW w:w="1980" w:type="dxa"/>
            <w:vMerge/>
            <w:shd w:val="clear" w:color="auto" w:fill="auto"/>
          </w:tcPr>
          <w:p w:rsidR="00AF5972" w:rsidRPr="00FB41B3" w:rsidRDefault="00AF5972" w:rsidP="00F916CA">
            <w:pPr>
              <w:spacing w:line="276" w:lineRule="auto"/>
              <w:rPr>
                <w:rFonts w:cs="Tahoma"/>
                <w:b/>
                <w:sz w:val="18"/>
                <w:szCs w:val="18"/>
                <w:lang w:val="en-GB"/>
              </w:rPr>
            </w:pPr>
          </w:p>
        </w:tc>
        <w:tc>
          <w:tcPr>
            <w:tcW w:w="2410" w:type="dxa"/>
            <w:vMerge/>
            <w:shd w:val="clear" w:color="auto" w:fill="auto"/>
          </w:tcPr>
          <w:p w:rsidR="00AF5972" w:rsidRPr="00FB41B3" w:rsidRDefault="00AF5972" w:rsidP="00F916CA">
            <w:pPr>
              <w:spacing w:line="276" w:lineRule="auto"/>
              <w:rPr>
                <w:rFonts w:cs="Tahoma"/>
                <w:b/>
                <w:sz w:val="18"/>
                <w:szCs w:val="18"/>
                <w:lang w:val="en-GB"/>
              </w:rPr>
            </w:pPr>
          </w:p>
        </w:tc>
        <w:tc>
          <w:tcPr>
            <w:tcW w:w="2976" w:type="dxa"/>
            <w:shd w:val="clear" w:color="auto" w:fill="auto"/>
          </w:tcPr>
          <w:p w:rsidR="00AF5972" w:rsidRPr="00FB41B3" w:rsidRDefault="00AF5972" w:rsidP="00F916CA">
            <w:pPr>
              <w:spacing w:line="276" w:lineRule="auto"/>
              <w:rPr>
                <w:rFonts w:cs="Tahoma"/>
                <w:sz w:val="18"/>
                <w:szCs w:val="18"/>
                <w:lang w:val="en-GB"/>
              </w:rPr>
            </w:pPr>
            <w:r>
              <w:rPr>
                <w:rFonts w:cs="Tahoma"/>
                <w:sz w:val="18"/>
                <w:szCs w:val="18"/>
                <w:lang w:val="en-GB"/>
              </w:rPr>
              <w:t xml:space="preserve">1.3.3 </w:t>
            </w:r>
            <w:r w:rsidRPr="00FB41B3">
              <w:rPr>
                <w:rFonts w:cs="Tahoma"/>
                <w:sz w:val="18"/>
                <w:szCs w:val="18"/>
                <w:lang w:val="en-GB"/>
              </w:rPr>
              <w:t>Organise a women’s forum to discuss SSR UNSCR 1325 issue affecting women’s wellbeing from a human security perspective and discerning entry points for women’s involvement in security review processes</w:t>
            </w:r>
            <w:r>
              <w:rPr>
                <w:rFonts w:cs="Tahoma"/>
                <w:sz w:val="18"/>
                <w:szCs w:val="18"/>
                <w:lang w:val="en-GB"/>
              </w:rPr>
              <w:t>. (To be undertaken in conjunction with 2.1.1)  (UN Women partnership)</w:t>
            </w:r>
          </w:p>
        </w:tc>
        <w:tc>
          <w:tcPr>
            <w:tcW w:w="2127" w:type="dxa"/>
            <w:shd w:val="clear" w:color="auto" w:fill="auto"/>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participants (M/F);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decisions and actions </w:t>
            </w:r>
          </w:p>
          <w:p w:rsidR="00AF5972" w:rsidRDefault="00AF5972" w:rsidP="00F916CA">
            <w:pPr>
              <w:spacing w:line="276" w:lineRule="auto"/>
              <w:rPr>
                <w:rFonts w:cs="Tahoma"/>
                <w:sz w:val="18"/>
                <w:szCs w:val="18"/>
                <w:lang w:val="en-GB"/>
              </w:rPr>
            </w:pPr>
            <w:r w:rsidRPr="00FB41B3">
              <w:rPr>
                <w:rFonts w:cs="Tahoma"/>
                <w:sz w:val="18"/>
                <w:szCs w:val="18"/>
                <w:lang w:val="en-GB"/>
              </w:rPr>
              <w:t xml:space="preserve"># following up consultations in each PIC between participants from the forum and their respective </w:t>
            </w:r>
            <w:r>
              <w:rPr>
                <w:rFonts w:cs="Tahoma"/>
                <w:sz w:val="18"/>
                <w:szCs w:val="18"/>
                <w:lang w:val="en-GB"/>
              </w:rPr>
              <w:t>governments</w:t>
            </w:r>
          </w:p>
          <w:p w:rsidR="00AF5972" w:rsidRDefault="00AF5972" w:rsidP="00F916CA">
            <w:pPr>
              <w:spacing w:line="276" w:lineRule="auto"/>
              <w:rPr>
                <w:rFonts w:cs="Tahoma"/>
                <w:sz w:val="18"/>
                <w:szCs w:val="18"/>
                <w:lang w:val="en-GB"/>
              </w:rPr>
            </w:pPr>
            <w:r>
              <w:rPr>
                <w:rFonts w:cs="Tahoma"/>
                <w:sz w:val="18"/>
                <w:szCs w:val="18"/>
                <w:lang w:val="en-GB"/>
              </w:rPr>
              <w:t># of actions implemented</w:t>
            </w:r>
          </w:p>
          <w:p w:rsidR="00AF5972" w:rsidRPr="00FB41B3" w:rsidRDefault="00AF5972" w:rsidP="00F916CA">
            <w:pPr>
              <w:spacing w:line="276" w:lineRule="auto"/>
              <w:rPr>
                <w:rFonts w:cs="Tahoma"/>
                <w:b/>
                <w:sz w:val="18"/>
                <w:szCs w:val="18"/>
                <w:lang w:val="en-GB"/>
              </w:rPr>
            </w:pPr>
            <w:r w:rsidRPr="00FB41B3">
              <w:rPr>
                <w:rFonts w:cs="Tahoma"/>
                <w:sz w:val="18"/>
                <w:szCs w:val="18"/>
                <w:lang w:val="en-GB"/>
              </w:rPr>
              <w:t xml:space="preserve"> </w:t>
            </w:r>
          </w:p>
        </w:tc>
        <w:tc>
          <w:tcPr>
            <w:tcW w:w="2409" w:type="dxa"/>
            <w:shd w:val="clear" w:color="auto" w:fill="auto"/>
          </w:tcPr>
          <w:p w:rsidR="00AF5972" w:rsidRPr="005C67ED" w:rsidRDefault="00AF5972" w:rsidP="00F916CA">
            <w:pPr>
              <w:spacing w:line="276" w:lineRule="auto"/>
              <w:rPr>
                <w:rFonts w:cs="Tahoma"/>
                <w:sz w:val="18"/>
                <w:szCs w:val="18"/>
                <w:lang w:val="en-GB"/>
              </w:rPr>
            </w:pPr>
            <w:r w:rsidRPr="005C67ED">
              <w:rPr>
                <w:rFonts w:cs="Tahoma"/>
                <w:sz w:val="18"/>
                <w:szCs w:val="18"/>
                <w:lang w:val="en-GB"/>
              </w:rPr>
              <w:t>Existing national action plans in the target PICS</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Funds under 2.1.1</w:t>
            </w:r>
          </w:p>
        </w:tc>
        <w:tc>
          <w:tcPr>
            <w:tcW w:w="1048" w:type="dxa"/>
            <w:shd w:val="clear" w:color="auto" w:fill="auto"/>
          </w:tcPr>
          <w:p w:rsidR="00AF5972" w:rsidRPr="002A350D" w:rsidRDefault="00AF5972" w:rsidP="00F916CA">
            <w:pPr>
              <w:spacing w:line="276" w:lineRule="auto"/>
              <w:rPr>
                <w:rFonts w:cs="Tahoma"/>
                <w:sz w:val="18"/>
                <w:szCs w:val="18"/>
                <w:lang w:val="en-GB"/>
              </w:rPr>
            </w:pPr>
            <w:r>
              <w:rPr>
                <w:rFonts w:cs="Tahoma"/>
                <w:sz w:val="18"/>
                <w:szCs w:val="18"/>
                <w:lang w:val="en-GB"/>
              </w:rPr>
              <w:t>15</w:t>
            </w:r>
            <w:r w:rsidR="0080281A">
              <w:rPr>
                <w:rFonts w:cs="Tahoma"/>
                <w:sz w:val="18"/>
                <w:szCs w:val="18"/>
                <w:lang w:val="en-GB"/>
              </w:rPr>
              <w:t>,</w:t>
            </w:r>
            <w:r w:rsidRPr="002A350D">
              <w:rPr>
                <w:rFonts w:cs="Tahoma"/>
                <w:sz w:val="18"/>
                <w:szCs w:val="18"/>
                <w:lang w:val="en-GB"/>
              </w:rPr>
              <w:t>000</w:t>
            </w:r>
          </w:p>
        </w:tc>
      </w:tr>
      <w:tr w:rsidR="00AF5972" w:rsidRPr="00FB41B3" w:rsidTr="0034419D">
        <w:trPr>
          <w:trHeight w:val="995"/>
        </w:trPr>
        <w:tc>
          <w:tcPr>
            <w:tcW w:w="1980" w:type="dxa"/>
            <w:vMerge/>
            <w:shd w:val="clear" w:color="auto" w:fill="auto"/>
          </w:tcPr>
          <w:p w:rsidR="00AF5972" w:rsidRPr="00FB41B3" w:rsidRDefault="00AF5972" w:rsidP="00F916CA">
            <w:pPr>
              <w:spacing w:line="276" w:lineRule="auto"/>
              <w:rPr>
                <w:rFonts w:cs="Tahoma"/>
                <w:b/>
                <w:sz w:val="18"/>
                <w:szCs w:val="18"/>
                <w:lang w:val="en-GB"/>
              </w:rPr>
            </w:pPr>
          </w:p>
        </w:tc>
        <w:tc>
          <w:tcPr>
            <w:tcW w:w="2410" w:type="dxa"/>
            <w:vMerge/>
            <w:shd w:val="clear" w:color="auto" w:fill="auto"/>
          </w:tcPr>
          <w:p w:rsidR="00AF5972" w:rsidRPr="00FB41B3" w:rsidRDefault="00AF5972" w:rsidP="00F916CA">
            <w:pPr>
              <w:spacing w:line="276" w:lineRule="auto"/>
              <w:rPr>
                <w:rFonts w:cs="Tahoma"/>
                <w:b/>
                <w:sz w:val="18"/>
                <w:szCs w:val="18"/>
                <w:lang w:val="en-GB"/>
              </w:rPr>
            </w:pPr>
          </w:p>
        </w:tc>
        <w:tc>
          <w:tcPr>
            <w:tcW w:w="2976" w:type="dxa"/>
            <w:shd w:val="clear" w:color="auto" w:fill="auto"/>
          </w:tcPr>
          <w:p w:rsidR="00AF5972" w:rsidRPr="00FB41B3" w:rsidRDefault="00AF5972" w:rsidP="00F916CA">
            <w:pPr>
              <w:spacing w:line="276" w:lineRule="auto"/>
              <w:rPr>
                <w:rFonts w:cs="Tahoma"/>
                <w:sz w:val="18"/>
                <w:szCs w:val="18"/>
                <w:lang w:val="en-GB"/>
              </w:rPr>
            </w:pPr>
            <w:r>
              <w:rPr>
                <w:rFonts w:cs="Tahoma"/>
                <w:sz w:val="18"/>
                <w:szCs w:val="18"/>
                <w:lang w:val="en-GB"/>
              </w:rPr>
              <w:t xml:space="preserve">1.3.4 </w:t>
            </w:r>
            <w:r w:rsidRPr="00FB41B3">
              <w:rPr>
                <w:rFonts w:cs="Tahoma"/>
                <w:sz w:val="18"/>
                <w:szCs w:val="18"/>
                <w:lang w:val="en-GB"/>
              </w:rPr>
              <w:t xml:space="preserve">Partner with the National Youth Councils to organise symposium on human security in the region and how youth can contribute more effectively to community security </w:t>
            </w:r>
          </w:p>
        </w:tc>
        <w:tc>
          <w:tcPr>
            <w:tcW w:w="2127" w:type="dxa"/>
            <w:shd w:val="clear" w:color="auto" w:fill="auto"/>
          </w:tcPr>
          <w:p w:rsidR="00AF5972" w:rsidRPr="00FB41B3" w:rsidRDefault="00AF5972" w:rsidP="00F916CA">
            <w:pPr>
              <w:spacing w:line="276" w:lineRule="auto"/>
              <w:rPr>
                <w:rFonts w:cs="Tahoma"/>
                <w:sz w:val="18"/>
                <w:szCs w:val="18"/>
                <w:lang w:val="en-GB"/>
              </w:rPr>
            </w:pPr>
            <w:r w:rsidRPr="00FB41B3">
              <w:rPr>
                <w:rFonts w:cs="Tahoma"/>
                <w:sz w:val="18"/>
                <w:szCs w:val="18"/>
                <w:lang w:val="en-GB"/>
              </w:rPr>
              <w:t># of youth groups attending</w:t>
            </w:r>
          </w:p>
          <w:p w:rsidR="00AF5972" w:rsidRPr="00FB41B3" w:rsidRDefault="00AF5972" w:rsidP="00F916CA">
            <w:pPr>
              <w:spacing w:line="276" w:lineRule="auto"/>
              <w:rPr>
                <w:rFonts w:cs="Tahoma"/>
                <w:b/>
                <w:sz w:val="18"/>
                <w:szCs w:val="18"/>
                <w:lang w:val="en-GB"/>
              </w:rPr>
            </w:pPr>
            <w:r w:rsidRPr="00FB41B3">
              <w:rPr>
                <w:rFonts w:cs="Tahoma"/>
                <w:sz w:val="18"/>
                <w:szCs w:val="18"/>
                <w:lang w:val="en-GB"/>
              </w:rPr>
              <w:t xml:space="preserve"># national forums held afterwards in each PIC with their respective security institutions and Government </w:t>
            </w:r>
          </w:p>
        </w:tc>
        <w:tc>
          <w:tcPr>
            <w:tcW w:w="2409" w:type="dxa"/>
            <w:shd w:val="clear" w:color="auto" w:fill="auto"/>
          </w:tcPr>
          <w:p w:rsidR="00AF5972" w:rsidRPr="002A350D" w:rsidRDefault="00AF5972" w:rsidP="00F916CA">
            <w:pPr>
              <w:spacing w:line="276" w:lineRule="auto"/>
              <w:rPr>
                <w:rFonts w:cs="Tahoma"/>
                <w:sz w:val="18"/>
                <w:szCs w:val="18"/>
                <w:lang w:val="en-GB"/>
              </w:rPr>
            </w:pPr>
            <w:r w:rsidRPr="002A350D">
              <w:rPr>
                <w:rFonts w:cs="Tahoma"/>
                <w:sz w:val="18"/>
                <w:szCs w:val="18"/>
                <w:lang w:val="en-GB"/>
              </w:rPr>
              <w:t>Existing youth reports with action plans in PICS</w:t>
            </w:r>
          </w:p>
        </w:tc>
        <w:tc>
          <w:tcPr>
            <w:tcW w:w="1048" w:type="dxa"/>
          </w:tcPr>
          <w:p w:rsidR="00AF5972" w:rsidRDefault="00AF5972" w:rsidP="00F916CA">
            <w:pPr>
              <w:spacing w:line="276" w:lineRule="auto"/>
              <w:rPr>
                <w:rFonts w:cs="Tahoma"/>
                <w:sz w:val="18"/>
                <w:szCs w:val="18"/>
                <w:lang w:val="en-GB"/>
              </w:rPr>
            </w:pPr>
          </w:p>
        </w:tc>
        <w:tc>
          <w:tcPr>
            <w:tcW w:w="1048" w:type="dxa"/>
            <w:shd w:val="clear" w:color="auto" w:fill="auto"/>
          </w:tcPr>
          <w:p w:rsidR="00AF5972" w:rsidRPr="002A350D" w:rsidRDefault="00AF5972" w:rsidP="00F916CA">
            <w:pPr>
              <w:spacing w:line="276" w:lineRule="auto"/>
              <w:rPr>
                <w:rFonts w:cs="Tahoma"/>
                <w:sz w:val="18"/>
                <w:szCs w:val="18"/>
                <w:lang w:val="en-GB"/>
              </w:rPr>
            </w:pPr>
            <w:r>
              <w:rPr>
                <w:rFonts w:cs="Tahoma"/>
                <w:sz w:val="18"/>
                <w:szCs w:val="18"/>
                <w:lang w:val="en-GB"/>
              </w:rPr>
              <w:t>10</w:t>
            </w:r>
            <w:r w:rsidR="0080281A">
              <w:rPr>
                <w:rFonts w:cs="Tahoma"/>
                <w:sz w:val="18"/>
                <w:szCs w:val="18"/>
                <w:lang w:val="en-GB"/>
              </w:rPr>
              <w:t>,</w:t>
            </w:r>
            <w:r w:rsidRPr="002A350D">
              <w:rPr>
                <w:rFonts w:cs="Tahoma"/>
                <w:sz w:val="18"/>
                <w:szCs w:val="18"/>
                <w:lang w:val="en-GB"/>
              </w:rPr>
              <w:t>000</w:t>
            </w:r>
          </w:p>
        </w:tc>
      </w:tr>
      <w:tr w:rsidR="00AF5972" w:rsidRPr="00FB41B3" w:rsidTr="0034419D">
        <w:trPr>
          <w:trHeight w:val="332"/>
        </w:trPr>
        <w:tc>
          <w:tcPr>
            <w:tcW w:w="1980" w:type="dxa"/>
            <w:shd w:val="clear" w:color="auto" w:fill="D9D9D9" w:themeFill="background1" w:themeFillShade="D9"/>
          </w:tcPr>
          <w:p w:rsidR="00AF5972" w:rsidRPr="00FB41B3" w:rsidRDefault="00AF5972" w:rsidP="00F916CA">
            <w:pPr>
              <w:spacing w:line="276" w:lineRule="auto"/>
              <w:rPr>
                <w:rFonts w:cs="Tahoma"/>
                <w:b/>
                <w:sz w:val="18"/>
                <w:szCs w:val="18"/>
                <w:lang w:val="en-GB"/>
              </w:rPr>
            </w:pPr>
            <w:r>
              <w:rPr>
                <w:rFonts w:cs="Tahoma"/>
                <w:b/>
                <w:sz w:val="18"/>
                <w:szCs w:val="18"/>
                <w:lang w:val="en-GB"/>
              </w:rPr>
              <w:t>Output 1 sub-total</w:t>
            </w:r>
          </w:p>
        </w:tc>
        <w:tc>
          <w:tcPr>
            <w:tcW w:w="9922" w:type="dxa"/>
            <w:gridSpan w:val="4"/>
            <w:shd w:val="clear" w:color="auto" w:fill="D9D9D9" w:themeFill="background1" w:themeFillShade="D9"/>
          </w:tcPr>
          <w:p w:rsidR="00AF5972" w:rsidRPr="002A350D" w:rsidRDefault="00AF5972" w:rsidP="00F916CA">
            <w:pPr>
              <w:spacing w:line="276" w:lineRule="auto"/>
              <w:rPr>
                <w:rFonts w:cs="Tahoma"/>
                <w:sz w:val="18"/>
                <w:szCs w:val="18"/>
                <w:lang w:val="en-GB"/>
              </w:rPr>
            </w:pPr>
          </w:p>
        </w:tc>
        <w:tc>
          <w:tcPr>
            <w:tcW w:w="1048" w:type="dxa"/>
            <w:shd w:val="clear" w:color="auto" w:fill="D9D9D9" w:themeFill="background1" w:themeFillShade="D9"/>
          </w:tcPr>
          <w:p w:rsidR="00AF5972" w:rsidDel="00B5714F" w:rsidRDefault="0080281A" w:rsidP="0080281A">
            <w:pPr>
              <w:spacing w:line="276" w:lineRule="auto"/>
              <w:rPr>
                <w:rFonts w:cs="Tahoma"/>
                <w:sz w:val="18"/>
                <w:szCs w:val="18"/>
                <w:lang w:val="en-GB"/>
              </w:rPr>
            </w:pPr>
            <w:r>
              <w:rPr>
                <w:rFonts w:cs="Tahoma"/>
                <w:sz w:val="18"/>
                <w:szCs w:val="18"/>
                <w:lang w:val="en-GB"/>
              </w:rPr>
              <w:t>30</w:t>
            </w:r>
            <w:r w:rsidR="00AF5972">
              <w:rPr>
                <w:rFonts w:cs="Tahoma"/>
                <w:sz w:val="18"/>
                <w:szCs w:val="18"/>
                <w:lang w:val="en-GB"/>
              </w:rPr>
              <w:t>,000</w:t>
            </w:r>
          </w:p>
        </w:tc>
        <w:tc>
          <w:tcPr>
            <w:tcW w:w="1048" w:type="dxa"/>
            <w:shd w:val="clear" w:color="auto" w:fill="D9D9D9" w:themeFill="background1" w:themeFillShade="D9"/>
          </w:tcPr>
          <w:p w:rsidR="00AF5972" w:rsidRPr="002A350D" w:rsidRDefault="006E382F" w:rsidP="00F916CA">
            <w:pPr>
              <w:spacing w:line="276" w:lineRule="auto"/>
              <w:rPr>
                <w:rFonts w:cs="Tahoma"/>
                <w:sz w:val="18"/>
                <w:szCs w:val="18"/>
                <w:lang w:val="en-GB"/>
              </w:rPr>
            </w:pPr>
            <w:r>
              <w:rPr>
                <w:rFonts w:cs="Tahoma"/>
                <w:sz w:val="18"/>
                <w:szCs w:val="18"/>
                <w:lang w:val="en-GB"/>
              </w:rPr>
              <w:t>62,802</w:t>
            </w:r>
          </w:p>
        </w:tc>
      </w:tr>
      <w:tr w:rsidR="003532B2" w:rsidRPr="00E114C0" w:rsidTr="00D900A8">
        <w:trPr>
          <w:trHeight w:val="789"/>
        </w:trPr>
        <w:tc>
          <w:tcPr>
            <w:tcW w:w="1980" w:type="dxa"/>
            <w:shd w:val="clear" w:color="auto" w:fill="B0D0E2" w:themeFill="accent1" w:themeFillTint="66"/>
          </w:tcPr>
          <w:p w:rsidR="003532B2" w:rsidRPr="00E114C0" w:rsidRDefault="003532B2" w:rsidP="00F916CA">
            <w:pPr>
              <w:spacing w:line="276" w:lineRule="auto"/>
              <w:jc w:val="center"/>
              <w:rPr>
                <w:rFonts w:cs="Tahoma"/>
                <w:b/>
                <w:sz w:val="24"/>
                <w:szCs w:val="24"/>
                <w:lang w:val="en-GB"/>
              </w:rPr>
            </w:pPr>
            <w:r w:rsidRPr="00E114C0">
              <w:rPr>
                <w:rFonts w:cs="Tahoma"/>
                <w:b/>
                <w:sz w:val="24"/>
                <w:szCs w:val="24"/>
                <w:lang w:val="en-GB"/>
              </w:rPr>
              <w:t xml:space="preserve">Output </w:t>
            </w:r>
            <w:r>
              <w:rPr>
                <w:rFonts w:cs="Tahoma"/>
                <w:b/>
                <w:sz w:val="24"/>
                <w:szCs w:val="24"/>
                <w:lang w:val="en-GB"/>
              </w:rPr>
              <w:t>2</w:t>
            </w:r>
          </w:p>
        </w:tc>
        <w:tc>
          <w:tcPr>
            <w:tcW w:w="12018" w:type="dxa"/>
            <w:gridSpan w:val="6"/>
            <w:shd w:val="clear" w:color="auto" w:fill="B0D0E2" w:themeFill="accent1" w:themeFillTint="66"/>
          </w:tcPr>
          <w:p w:rsidR="003532B2" w:rsidRPr="00E114C0" w:rsidRDefault="003532B2" w:rsidP="003C3260">
            <w:pPr>
              <w:tabs>
                <w:tab w:val="left" w:pos="4080"/>
              </w:tabs>
              <w:spacing w:after="60" w:line="276" w:lineRule="auto"/>
              <w:jc w:val="both"/>
              <w:rPr>
                <w:rFonts w:eastAsia="Times New Roman" w:cs="Tahoma"/>
                <w:b/>
                <w:i/>
                <w:color w:val="000000"/>
                <w:sz w:val="24"/>
                <w:szCs w:val="24"/>
                <w:lang w:val="en-GB"/>
              </w:rPr>
            </w:pPr>
            <w:r w:rsidRPr="00CA4D69">
              <w:rPr>
                <w:rFonts w:cs="Tahoma"/>
                <w:b/>
                <w:lang w:val="en-GB"/>
              </w:rPr>
              <w:t xml:space="preserve">Security Sector Governance enhanced in Fiji through support to the development of a new national security strategy and related White Papers, capacity building for civilian oversight mechanisms and human rights </w:t>
            </w:r>
            <w:r w:rsidRPr="009D79E2">
              <w:rPr>
                <w:rFonts w:cs="Tahoma"/>
                <w:b/>
                <w:lang w:val="en-GB"/>
              </w:rPr>
              <w:t>and prevention of sexual and gender based violence</w:t>
            </w:r>
            <w:r w:rsidRPr="00CA4D69">
              <w:rPr>
                <w:rFonts w:cs="Tahoma"/>
                <w:b/>
                <w:lang w:val="en-GB"/>
              </w:rPr>
              <w:t xml:space="preserve"> t</w:t>
            </w:r>
            <w:r>
              <w:rPr>
                <w:rFonts w:cs="Tahoma"/>
                <w:b/>
                <w:lang w:val="en-GB"/>
              </w:rPr>
              <w:t xml:space="preserve">raining for military forces, </w:t>
            </w:r>
            <w:r w:rsidRPr="00CA4D69">
              <w:rPr>
                <w:rFonts w:cs="Tahoma"/>
                <w:b/>
                <w:lang w:val="en-GB"/>
              </w:rPr>
              <w:t>police</w:t>
            </w:r>
            <w:r>
              <w:rPr>
                <w:rFonts w:cs="Tahoma"/>
                <w:b/>
                <w:lang w:val="en-GB"/>
              </w:rPr>
              <w:t xml:space="preserve"> and corrections service</w:t>
            </w:r>
            <w:r w:rsidRPr="00CA4D69">
              <w:rPr>
                <w:rFonts w:cs="Tahoma"/>
                <w:b/>
                <w:lang w:val="en-GB"/>
              </w:rPr>
              <w:t>.</w:t>
            </w:r>
            <w:r w:rsidRPr="00CA4D69">
              <w:rPr>
                <w:rFonts w:cs="Tahoma"/>
                <w:sz w:val="20"/>
                <w:szCs w:val="20"/>
                <w:lang w:val="en-GB"/>
              </w:rPr>
              <w:t xml:space="preserve"> </w:t>
            </w:r>
          </w:p>
        </w:tc>
      </w:tr>
      <w:tr w:rsidR="00AF5972" w:rsidRPr="00FB41B3" w:rsidTr="0034419D">
        <w:tc>
          <w:tcPr>
            <w:tcW w:w="198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Sub-outputs</w:t>
            </w:r>
          </w:p>
        </w:tc>
        <w:tc>
          <w:tcPr>
            <w:tcW w:w="241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 xml:space="preserve">Targets </w:t>
            </w:r>
          </w:p>
        </w:tc>
        <w:tc>
          <w:tcPr>
            <w:tcW w:w="2976"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Activity Result</w:t>
            </w:r>
          </w:p>
        </w:tc>
        <w:tc>
          <w:tcPr>
            <w:tcW w:w="2127"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Indicators</w:t>
            </w:r>
          </w:p>
        </w:tc>
        <w:tc>
          <w:tcPr>
            <w:tcW w:w="2409"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Baseline(s)</w:t>
            </w:r>
          </w:p>
        </w:tc>
        <w:tc>
          <w:tcPr>
            <w:tcW w:w="1048" w:type="dxa"/>
            <w:shd w:val="clear" w:color="auto" w:fill="B0D0E2" w:themeFill="accent1" w:themeFillTint="66"/>
          </w:tcPr>
          <w:p w:rsidR="00AF5972" w:rsidRDefault="00AF5972" w:rsidP="00F916CA">
            <w:pPr>
              <w:spacing w:line="276" w:lineRule="auto"/>
              <w:jc w:val="center"/>
              <w:rPr>
                <w:rFonts w:cs="Tahoma"/>
                <w:b/>
                <w:sz w:val="18"/>
                <w:szCs w:val="18"/>
                <w:lang w:val="en-GB"/>
              </w:rPr>
            </w:pPr>
            <w:r>
              <w:rPr>
                <w:rFonts w:cs="Tahoma"/>
                <w:b/>
                <w:sz w:val="18"/>
                <w:szCs w:val="18"/>
                <w:lang w:val="en-GB"/>
              </w:rPr>
              <w:t>Inputs 2016</w:t>
            </w:r>
          </w:p>
        </w:tc>
        <w:tc>
          <w:tcPr>
            <w:tcW w:w="1048"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Pr>
                <w:rFonts w:cs="Tahoma"/>
                <w:b/>
                <w:sz w:val="18"/>
                <w:szCs w:val="18"/>
                <w:lang w:val="en-GB"/>
              </w:rPr>
              <w:t>Inputs 2017</w:t>
            </w:r>
          </w:p>
        </w:tc>
      </w:tr>
      <w:tr w:rsidR="00AF5972" w:rsidRPr="00FB41B3" w:rsidTr="0034419D">
        <w:trPr>
          <w:trHeight w:val="1180"/>
        </w:trPr>
        <w:tc>
          <w:tcPr>
            <w:tcW w:w="1980" w:type="dxa"/>
            <w:vMerge w:val="restart"/>
          </w:tcPr>
          <w:p w:rsidR="00AF5972" w:rsidRPr="00FB41B3" w:rsidRDefault="00AF5972" w:rsidP="00F916CA">
            <w:pPr>
              <w:spacing w:line="276" w:lineRule="auto"/>
              <w:jc w:val="both"/>
              <w:rPr>
                <w:rFonts w:cs="Tahoma"/>
                <w:sz w:val="18"/>
                <w:szCs w:val="18"/>
                <w:lang w:val="en-GB"/>
              </w:rPr>
            </w:pPr>
            <w:r w:rsidRPr="00FB41B3">
              <w:rPr>
                <w:rFonts w:cs="Tahoma"/>
                <w:sz w:val="18"/>
                <w:szCs w:val="18"/>
                <w:lang w:val="en-GB"/>
              </w:rPr>
              <w:t xml:space="preserve">2.1 The Government of Fiji has increased capacity to implement security policies that are inclusive and in line with best practices and principles of Human Rights </w:t>
            </w:r>
          </w:p>
          <w:p w:rsidR="00AF5972" w:rsidRPr="00FB41B3" w:rsidRDefault="00AF5972" w:rsidP="00F916CA">
            <w:pPr>
              <w:spacing w:line="276" w:lineRule="auto"/>
              <w:jc w:val="both"/>
              <w:rPr>
                <w:rFonts w:cs="Tahoma"/>
                <w:sz w:val="18"/>
                <w:szCs w:val="18"/>
                <w:lang w:val="en-GB"/>
              </w:rPr>
            </w:pPr>
          </w:p>
          <w:p w:rsidR="00AF5972" w:rsidRPr="00FB41B3" w:rsidRDefault="00AF5972" w:rsidP="00F916CA">
            <w:pPr>
              <w:spacing w:line="276" w:lineRule="auto"/>
              <w:jc w:val="both"/>
              <w:rPr>
                <w:rFonts w:cs="Tahoma"/>
                <w:sz w:val="18"/>
                <w:szCs w:val="18"/>
                <w:lang w:val="en-GB"/>
              </w:rPr>
            </w:pPr>
          </w:p>
        </w:tc>
        <w:tc>
          <w:tcPr>
            <w:tcW w:w="2410" w:type="dxa"/>
            <w:vMerge w:val="restart"/>
          </w:tcPr>
          <w:p w:rsidR="00AF5972" w:rsidRPr="00FB41B3" w:rsidRDefault="00AF5972" w:rsidP="00F916CA">
            <w:pPr>
              <w:spacing w:after="160" w:line="276" w:lineRule="auto"/>
              <w:rPr>
                <w:rFonts w:cs="Tahoma"/>
                <w:b/>
                <w:sz w:val="18"/>
                <w:szCs w:val="18"/>
                <w:lang w:val="en-GB"/>
              </w:rPr>
            </w:pPr>
            <w:r w:rsidRPr="00FB41B3">
              <w:rPr>
                <w:rFonts w:cs="Tahoma"/>
                <w:sz w:val="18"/>
                <w:szCs w:val="18"/>
                <w:lang w:val="en-GB"/>
              </w:rPr>
              <w:t xml:space="preserve">Government of Fiji has adequate capacity to conduct a comprehensive security sector review and develop a national security policy that is inclusive, people centric and based on principles found in the UNSCR 2151 (2014) </w:t>
            </w:r>
          </w:p>
        </w:tc>
        <w:tc>
          <w:tcPr>
            <w:tcW w:w="2976" w:type="dxa"/>
          </w:tcPr>
          <w:p w:rsidR="00AF5972" w:rsidRPr="00FB41B3" w:rsidRDefault="00AF5972" w:rsidP="00C87250">
            <w:pPr>
              <w:spacing w:line="276" w:lineRule="auto"/>
              <w:rPr>
                <w:rFonts w:cs="Tahoma"/>
                <w:sz w:val="18"/>
                <w:szCs w:val="18"/>
                <w:lang w:val="en-GB"/>
              </w:rPr>
            </w:pPr>
            <w:r w:rsidRPr="00FB41B3">
              <w:rPr>
                <w:rFonts w:cs="Tahoma"/>
                <w:sz w:val="18"/>
                <w:szCs w:val="18"/>
                <w:lang w:val="en-GB"/>
              </w:rPr>
              <w:t>2.1.1  Partner with the University of Canterbury New Zealand</w:t>
            </w:r>
            <w:r>
              <w:rPr>
                <w:rFonts w:cs="Tahoma"/>
                <w:sz w:val="18"/>
                <w:szCs w:val="18"/>
                <w:lang w:val="en-GB"/>
              </w:rPr>
              <w:t xml:space="preserve"> (Macmillan Brown Centre for Pacific Studies) </w:t>
            </w:r>
            <w:r w:rsidRPr="00FB41B3">
              <w:rPr>
                <w:rFonts w:cs="Tahoma"/>
                <w:sz w:val="18"/>
                <w:szCs w:val="18"/>
                <w:lang w:val="en-GB"/>
              </w:rPr>
              <w:t xml:space="preserve">and University of South Pacific </w:t>
            </w:r>
            <w:r>
              <w:rPr>
                <w:rFonts w:cs="Tahoma"/>
                <w:sz w:val="18"/>
                <w:szCs w:val="18"/>
                <w:lang w:val="en-GB"/>
              </w:rPr>
              <w:t xml:space="preserve">to </w:t>
            </w:r>
            <w:r w:rsidRPr="00FB41B3">
              <w:rPr>
                <w:rFonts w:cs="Tahoma"/>
                <w:sz w:val="18"/>
                <w:szCs w:val="18"/>
                <w:lang w:val="en-GB"/>
              </w:rPr>
              <w:t>conduct a Security Symposium in Fiji that is inclusive</w:t>
            </w:r>
            <w:r>
              <w:rPr>
                <w:rFonts w:cs="Tahoma"/>
                <w:sz w:val="18"/>
                <w:szCs w:val="18"/>
                <w:lang w:val="en-GB"/>
              </w:rPr>
              <w:t xml:space="preserve"> and participatory</w:t>
            </w:r>
            <w:r w:rsidRPr="00FB41B3">
              <w:rPr>
                <w:rFonts w:cs="Tahoma"/>
                <w:sz w:val="18"/>
                <w:szCs w:val="18"/>
                <w:lang w:val="en-GB"/>
              </w:rPr>
              <w:t xml:space="preserve"> </w:t>
            </w:r>
            <w:r>
              <w:rPr>
                <w:rFonts w:cs="Tahoma"/>
                <w:sz w:val="18"/>
                <w:szCs w:val="18"/>
                <w:lang w:val="en-GB"/>
              </w:rPr>
              <w:t xml:space="preserve"> (incorporating activities 1.1.2 and 1.3.3)</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participants in the Symposium (M/F)</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citizens/ordinary civilians (M/F) in the Symposium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decisions/agreements issued</w:t>
            </w:r>
          </w:p>
        </w:tc>
        <w:tc>
          <w:tcPr>
            <w:tcW w:w="2409" w:type="dxa"/>
          </w:tcPr>
          <w:p w:rsidR="00AF5972" w:rsidRPr="00FB41B3" w:rsidRDefault="00AF5972" w:rsidP="00F916CA">
            <w:pPr>
              <w:spacing w:line="276" w:lineRule="auto"/>
              <w:rPr>
                <w:rFonts w:cs="Tahoma"/>
                <w:sz w:val="18"/>
                <w:szCs w:val="18"/>
                <w:lang w:val="en-GB"/>
              </w:rPr>
            </w:pPr>
            <w:r>
              <w:rPr>
                <w:rFonts w:cs="Tahoma"/>
                <w:sz w:val="18"/>
                <w:szCs w:val="18"/>
                <w:lang w:val="en-GB"/>
              </w:rPr>
              <w:t xml:space="preserve">2015 Security Symposium </w:t>
            </w:r>
          </w:p>
        </w:tc>
        <w:tc>
          <w:tcPr>
            <w:tcW w:w="1048" w:type="dxa"/>
          </w:tcPr>
          <w:p w:rsidR="00725A63" w:rsidRDefault="00AF5972" w:rsidP="00F916CA">
            <w:pPr>
              <w:spacing w:line="276" w:lineRule="auto"/>
              <w:rPr>
                <w:rFonts w:cs="Tahoma"/>
                <w:sz w:val="18"/>
                <w:szCs w:val="18"/>
                <w:lang w:val="en-GB"/>
              </w:rPr>
            </w:pPr>
            <w:r>
              <w:rPr>
                <w:rFonts w:cs="Tahoma"/>
                <w:sz w:val="18"/>
                <w:szCs w:val="18"/>
                <w:lang w:val="en-GB"/>
              </w:rPr>
              <w:t>20,000</w:t>
            </w:r>
            <w:r w:rsidR="00FE5791">
              <w:rPr>
                <w:rFonts w:cs="Tahoma"/>
                <w:sz w:val="18"/>
                <w:szCs w:val="18"/>
                <w:lang w:val="en-GB"/>
              </w:rPr>
              <w:t xml:space="preserve"> </w:t>
            </w:r>
            <w:r w:rsidR="00FE5791" w:rsidRPr="00725A63">
              <w:rPr>
                <w:rFonts w:cs="Tahoma"/>
                <w:b/>
                <w:sz w:val="18"/>
                <w:szCs w:val="18"/>
                <w:lang w:val="en-GB"/>
              </w:rPr>
              <w:t>(travel and workshop costs)</w:t>
            </w:r>
            <w:r w:rsidR="00725A63">
              <w:rPr>
                <w:rFonts w:cs="Tahoma"/>
                <w:sz w:val="18"/>
                <w:szCs w:val="18"/>
                <w:lang w:val="en-GB"/>
              </w:rPr>
              <w:t xml:space="preserve"> </w:t>
            </w:r>
          </w:p>
          <w:p w:rsidR="007B5D84" w:rsidRPr="00725A63" w:rsidRDefault="007B5D84" w:rsidP="00F916CA">
            <w:pPr>
              <w:spacing w:line="276" w:lineRule="auto"/>
              <w:rPr>
                <w:rFonts w:cs="Tahoma"/>
                <w:sz w:val="18"/>
                <w:szCs w:val="18"/>
                <w:lang w:val="en-GB"/>
              </w:rPr>
            </w:pPr>
            <w:r w:rsidRPr="007B5D84">
              <w:rPr>
                <w:rFonts w:cs="Tahoma"/>
                <w:b/>
                <w:sz w:val="18"/>
                <w:szCs w:val="18"/>
                <w:lang w:val="en-GB"/>
              </w:rPr>
              <w:t>Q3</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1180"/>
        </w:trPr>
        <w:tc>
          <w:tcPr>
            <w:tcW w:w="1980" w:type="dxa"/>
            <w:vMerge/>
          </w:tcPr>
          <w:p w:rsidR="00AF5972" w:rsidRPr="00FB41B3" w:rsidRDefault="00AF5972" w:rsidP="00F916CA">
            <w:pPr>
              <w:spacing w:line="276" w:lineRule="auto"/>
              <w:rPr>
                <w:rFonts w:cs="Tahoma"/>
                <w:sz w:val="18"/>
                <w:szCs w:val="18"/>
                <w:lang w:val="en-GB"/>
              </w:rPr>
            </w:pPr>
          </w:p>
        </w:tc>
        <w:tc>
          <w:tcPr>
            <w:tcW w:w="2410" w:type="dxa"/>
            <w:vMerge/>
          </w:tcPr>
          <w:p w:rsidR="00AF5972" w:rsidRPr="00FB41B3" w:rsidRDefault="00AF5972" w:rsidP="00F916CA">
            <w:pPr>
              <w:spacing w:line="276" w:lineRule="auto"/>
              <w:rPr>
                <w:rFonts w:cs="Tahoma"/>
                <w:sz w:val="18"/>
                <w:szCs w:val="18"/>
                <w:lang w:val="en-GB"/>
              </w:rPr>
            </w:pPr>
          </w:p>
        </w:tc>
        <w:tc>
          <w:tcPr>
            <w:tcW w:w="2976"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2.1.2 Expert Consultations with the Ministry of Defence, National Security</w:t>
            </w:r>
            <w:r>
              <w:rPr>
                <w:rFonts w:cs="Tahoma"/>
                <w:sz w:val="18"/>
                <w:szCs w:val="18"/>
                <w:lang w:val="en-GB"/>
              </w:rPr>
              <w:t xml:space="preserve"> (Police)</w:t>
            </w:r>
            <w:r w:rsidRPr="00FB41B3">
              <w:rPr>
                <w:rFonts w:cs="Tahoma"/>
                <w:sz w:val="18"/>
                <w:szCs w:val="18"/>
                <w:lang w:val="en-GB"/>
              </w:rPr>
              <w:t xml:space="preserve"> and Immigration institutions on the new security policies</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consultations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Recorded Results from the consultations and action points</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Existing consultations (records)</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21,210</w:t>
            </w: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(travel and workshop costs)</w:t>
            </w:r>
          </w:p>
          <w:p w:rsidR="007B5D84" w:rsidRDefault="007B5D84" w:rsidP="00F916CA">
            <w:pPr>
              <w:spacing w:line="276" w:lineRule="auto"/>
              <w:rPr>
                <w:rFonts w:cs="Tahoma"/>
                <w:sz w:val="18"/>
                <w:szCs w:val="18"/>
                <w:lang w:val="en-GB"/>
              </w:rPr>
            </w:pPr>
            <w:r w:rsidRPr="007B5D84">
              <w:rPr>
                <w:rFonts w:cs="Tahoma"/>
                <w:b/>
                <w:sz w:val="18"/>
                <w:szCs w:val="18"/>
                <w:lang w:val="en-GB"/>
              </w:rPr>
              <w:t>Q1</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934"/>
        </w:trPr>
        <w:tc>
          <w:tcPr>
            <w:tcW w:w="1980" w:type="dxa"/>
            <w:vMerge/>
          </w:tcPr>
          <w:p w:rsidR="00AF5972" w:rsidRPr="00FB41B3" w:rsidRDefault="00AF5972" w:rsidP="00F916CA">
            <w:pPr>
              <w:spacing w:line="276" w:lineRule="auto"/>
              <w:rPr>
                <w:rFonts w:cs="Tahoma"/>
                <w:sz w:val="18"/>
                <w:szCs w:val="18"/>
                <w:lang w:val="en-GB"/>
              </w:rPr>
            </w:pPr>
          </w:p>
        </w:tc>
        <w:tc>
          <w:tcPr>
            <w:tcW w:w="2410" w:type="dxa"/>
            <w:vMerge/>
          </w:tcPr>
          <w:p w:rsidR="00AF5972" w:rsidRPr="00FB41B3" w:rsidRDefault="00AF5972" w:rsidP="00F916CA">
            <w:pPr>
              <w:spacing w:line="276" w:lineRule="auto"/>
              <w:rPr>
                <w:rFonts w:cs="Tahoma"/>
                <w:sz w:val="18"/>
                <w:szCs w:val="18"/>
                <w:lang w:val="en-GB"/>
              </w:rPr>
            </w:pPr>
          </w:p>
        </w:tc>
        <w:tc>
          <w:tcPr>
            <w:tcW w:w="2976" w:type="dxa"/>
          </w:tcPr>
          <w:p w:rsidR="00AF5972" w:rsidRPr="00FB41B3" w:rsidRDefault="00AF5972" w:rsidP="00F916CA">
            <w:pPr>
              <w:spacing w:line="276" w:lineRule="auto"/>
              <w:rPr>
                <w:rFonts w:cs="Tahoma"/>
                <w:sz w:val="18"/>
                <w:szCs w:val="18"/>
                <w:lang w:val="en-GB"/>
              </w:rPr>
            </w:pPr>
            <w:r w:rsidRPr="00FB41B3">
              <w:rPr>
                <w:rFonts w:cs="Times New Roman"/>
                <w:sz w:val="18"/>
                <w:szCs w:val="18"/>
              </w:rPr>
              <w:t xml:space="preserve">2.1.3 Provide technical expertise and support to the Government </w:t>
            </w:r>
            <w:r>
              <w:rPr>
                <w:rFonts w:cs="Times New Roman"/>
                <w:sz w:val="18"/>
                <w:szCs w:val="18"/>
              </w:rPr>
              <w:t xml:space="preserve">in formulating their </w:t>
            </w:r>
            <w:r w:rsidRPr="00FB41B3">
              <w:rPr>
                <w:rFonts w:cs="Times New Roman"/>
                <w:sz w:val="18"/>
                <w:szCs w:val="18"/>
              </w:rPr>
              <w:t xml:space="preserve">National Security Policy </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people receiving support (M/F)</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people/institutions consulted during the</w:t>
            </w:r>
            <w:r>
              <w:rPr>
                <w:rFonts w:cs="Tahoma"/>
                <w:sz w:val="18"/>
                <w:szCs w:val="18"/>
                <w:lang w:val="en-GB"/>
              </w:rPr>
              <w:t xml:space="preserve"> review and </w:t>
            </w:r>
            <w:r w:rsidRPr="00FB41B3">
              <w:rPr>
                <w:rFonts w:cs="Tahoma"/>
                <w:sz w:val="18"/>
                <w:szCs w:val="18"/>
                <w:lang w:val="en-GB"/>
              </w:rPr>
              <w:t xml:space="preserve"> development of the policy</w:t>
            </w:r>
          </w:p>
          <w:p w:rsidR="00AF5972" w:rsidRPr="00FB41B3" w:rsidRDefault="00AF5972" w:rsidP="00F916CA">
            <w:pPr>
              <w:spacing w:line="276" w:lineRule="auto"/>
              <w:rPr>
                <w:rFonts w:cs="Tahoma"/>
                <w:sz w:val="18"/>
                <w:szCs w:val="18"/>
                <w:lang w:val="en-GB"/>
              </w:rPr>
            </w:pPr>
            <w:r w:rsidRPr="00FB41B3">
              <w:rPr>
                <w:rFonts w:cs="Tahoma"/>
                <w:sz w:val="18"/>
                <w:szCs w:val="18"/>
                <w:lang w:val="en-GB"/>
              </w:rPr>
              <w:t>Security Policy developed (1-4 quality measured)</w:t>
            </w:r>
          </w:p>
          <w:p w:rsidR="00AF5972" w:rsidRPr="00FB41B3" w:rsidRDefault="00AF5972" w:rsidP="00F916CA">
            <w:pPr>
              <w:spacing w:line="276" w:lineRule="auto"/>
              <w:rPr>
                <w:rFonts w:cs="Tahoma"/>
                <w:sz w:val="18"/>
                <w:szCs w:val="18"/>
                <w:lang w:val="en-GB"/>
              </w:rPr>
            </w:pP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0:  Policy exists</w:t>
            </w:r>
            <w:r>
              <w:rPr>
                <w:rFonts w:cs="Tahoma"/>
                <w:sz w:val="18"/>
                <w:szCs w:val="18"/>
                <w:lang w:val="en-GB"/>
              </w:rPr>
              <w:t xml:space="preserve"> that is obsolete and needs reviewing</w:t>
            </w:r>
          </w:p>
        </w:tc>
        <w:tc>
          <w:tcPr>
            <w:tcW w:w="1048" w:type="dxa"/>
          </w:tcPr>
          <w:p w:rsidR="00AF5972" w:rsidRDefault="007B5D84" w:rsidP="00F916CA">
            <w:pPr>
              <w:spacing w:line="276" w:lineRule="auto"/>
              <w:rPr>
                <w:rFonts w:cs="Tahoma"/>
                <w:sz w:val="18"/>
                <w:szCs w:val="18"/>
                <w:lang w:val="en-GB"/>
              </w:rPr>
            </w:pPr>
            <w:r>
              <w:rPr>
                <w:rFonts w:cs="Tahoma"/>
                <w:sz w:val="18"/>
                <w:szCs w:val="18"/>
                <w:lang w:val="en-GB"/>
              </w:rPr>
              <w:t>1</w:t>
            </w:r>
            <w:r w:rsidR="00AF5972">
              <w:rPr>
                <w:rFonts w:cs="Tahoma"/>
                <w:sz w:val="18"/>
                <w:szCs w:val="18"/>
                <w:lang w:val="en-GB"/>
              </w:rPr>
              <w:t>5,000</w:t>
            </w: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(travel and workshop costs).</w:t>
            </w:r>
          </w:p>
          <w:p w:rsidR="007B5D84" w:rsidRDefault="007B5D84" w:rsidP="00F916CA">
            <w:pPr>
              <w:spacing w:line="276" w:lineRule="auto"/>
              <w:rPr>
                <w:rFonts w:cs="Tahoma"/>
                <w:sz w:val="18"/>
                <w:szCs w:val="18"/>
                <w:lang w:val="en-GB"/>
              </w:rPr>
            </w:pPr>
            <w:r w:rsidRPr="007B5D84">
              <w:rPr>
                <w:rFonts w:cs="Tahoma"/>
                <w:b/>
                <w:sz w:val="18"/>
                <w:szCs w:val="18"/>
                <w:lang w:val="en-GB"/>
              </w:rPr>
              <w:t>Q3</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558"/>
        </w:trPr>
        <w:tc>
          <w:tcPr>
            <w:tcW w:w="1980" w:type="dxa"/>
            <w:vMerge/>
          </w:tcPr>
          <w:p w:rsidR="00AF5972" w:rsidRPr="00FB41B3" w:rsidRDefault="00AF5972" w:rsidP="00F916CA">
            <w:pPr>
              <w:spacing w:line="276" w:lineRule="auto"/>
              <w:jc w:val="both"/>
              <w:rPr>
                <w:rFonts w:cs="Tahoma"/>
                <w:sz w:val="18"/>
                <w:szCs w:val="18"/>
                <w:lang w:val="en-GB"/>
              </w:rPr>
            </w:pPr>
          </w:p>
        </w:tc>
        <w:tc>
          <w:tcPr>
            <w:tcW w:w="2410" w:type="dxa"/>
          </w:tcPr>
          <w:p w:rsidR="00AF5972" w:rsidRPr="00FB41B3" w:rsidRDefault="00AF5972" w:rsidP="00F916CA">
            <w:pPr>
              <w:spacing w:line="276" w:lineRule="auto"/>
              <w:jc w:val="both"/>
              <w:rPr>
                <w:sz w:val="18"/>
                <w:szCs w:val="18"/>
              </w:rPr>
            </w:pPr>
            <w:r w:rsidRPr="00FB41B3">
              <w:rPr>
                <w:sz w:val="18"/>
                <w:szCs w:val="18"/>
              </w:rPr>
              <w:t>The police force is increasingly independent, empowered, trained, accountable, transparent, gender aware and supportive of human rights</w:t>
            </w:r>
          </w:p>
          <w:p w:rsidR="00AF5972" w:rsidRPr="00FB41B3" w:rsidRDefault="00AF5972" w:rsidP="00F916CA">
            <w:pPr>
              <w:spacing w:line="276" w:lineRule="auto"/>
              <w:rPr>
                <w:rFonts w:cs="Tahoma"/>
                <w:sz w:val="18"/>
                <w:szCs w:val="18"/>
                <w:lang w:val="en-GB"/>
              </w:rPr>
            </w:pPr>
          </w:p>
          <w:p w:rsidR="00AF5972" w:rsidRPr="00FB41B3" w:rsidRDefault="00AF5972" w:rsidP="00F916CA">
            <w:pPr>
              <w:spacing w:line="276" w:lineRule="auto"/>
              <w:jc w:val="center"/>
              <w:rPr>
                <w:rFonts w:cs="Tahoma"/>
                <w:sz w:val="18"/>
                <w:szCs w:val="18"/>
                <w:lang w:val="en-GB"/>
              </w:rPr>
            </w:pPr>
          </w:p>
        </w:tc>
        <w:tc>
          <w:tcPr>
            <w:tcW w:w="2976" w:type="dxa"/>
          </w:tcPr>
          <w:p w:rsidR="00AF5972" w:rsidRPr="007B5D84" w:rsidRDefault="00AF5972" w:rsidP="007B5D84">
            <w:pPr>
              <w:pStyle w:val="ListParagraph"/>
              <w:numPr>
                <w:ilvl w:val="2"/>
                <w:numId w:val="31"/>
              </w:numPr>
              <w:spacing w:line="276" w:lineRule="auto"/>
              <w:rPr>
                <w:rFonts w:cs="Tahoma"/>
                <w:sz w:val="18"/>
                <w:szCs w:val="18"/>
                <w:lang w:val="en-GB"/>
              </w:rPr>
            </w:pPr>
            <w:r w:rsidRPr="007B5D84">
              <w:rPr>
                <w:rFonts w:cs="Tahoma"/>
                <w:sz w:val="18"/>
                <w:szCs w:val="18"/>
                <w:lang w:val="en-GB"/>
              </w:rPr>
              <w:t xml:space="preserve">Conduct national training on </w:t>
            </w:r>
            <w:r w:rsidR="009D79E2" w:rsidRPr="007B5D84">
              <w:rPr>
                <w:rFonts w:cs="Tahoma"/>
                <w:sz w:val="18"/>
                <w:szCs w:val="18"/>
                <w:lang w:val="en-GB"/>
              </w:rPr>
              <w:t xml:space="preserve">prevention of </w:t>
            </w:r>
            <w:r w:rsidRPr="007B5D84">
              <w:rPr>
                <w:rFonts w:cs="Tahoma"/>
                <w:sz w:val="18"/>
                <w:szCs w:val="18"/>
                <w:lang w:val="en-GB"/>
              </w:rPr>
              <w:t>Sexual and Gender Based Violence for the  divisional police commanders and their support staff from the 4 police divisional HQ (NGO partnership)</w:t>
            </w:r>
          </w:p>
          <w:p w:rsidR="007B5D84" w:rsidRDefault="007B5D84" w:rsidP="007B5D84">
            <w:pPr>
              <w:pStyle w:val="ListParagraph"/>
              <w:spacing w:line="276" w:lineRule="auto"/>
              <w:ind w:left="765"/>
              <w:rPr>
                <w:rFonts w:cs="Tahoma"/>
                <w:sz w:val="18"/>
                <w:szCs w:val="18"/>
                <w:lang w:val="en-GB"/>
              </w:rPr>
            </w:pPr>
          </w:p>
          <w:p w:rsidR="007B5D84" w:rsidRPr="007B5D84" w:rsidRDefault="007B5D84" w:rsidP="007B5D84">
            <w:pPr>
              <w:pStyle w:val="ListParagraph"/>
              <w:spacing w:line="276" w:lineRule="auto"/>
              <w:ind w:left="765"/>
              <w:rPr>
                <w:rFonts w:cs="Tahoma"/>
                <w:b/>
                <w:sz w:val="18"/>
                <w:szCs w:val="18"/>
                <w:lang w:val="en-GB"/>
              </w:rPr>
            </w:pPr>
            <w:r w:rsidRPr="007B5D84">
              <w:rPr>
                <w:rFonts w:cs="Tahoma"/>
                <w:b/>
                <w:sz w:val="18"/>
                <w:szCs w:val="18"/>
                <w:lang w:val="en-GB"/>
              </w:rPr>
              <w:t xml:space="preserve">GBV training  of </w:t>
            </w:r>
            <w:r>
              <w:rPr>
                <w:rFonts w:cs="Tahoma"/>
                <w:b/>
                <w:sz w:val="18"/>
                <w:szCs w:val="18"/>
                <w:lang w:val="en-GB"/>
              </w:rPr>
              <w:t>Fiji police force</w:t>
            </w:r>
            <w:r w:rsidR="00725A63">
              <w:rPr>
                <w:rFonts w:cs="Tahoma"/>
                <w:b/>
                <w:sz w:val="18"/>
                <w:szCs w:val="18"/>
                <w:lang w:val="en-GB"/>
              </w:rPr>
              <w:t xml:space="preserve"> to be undertaken</w:t>
            </w:r>
            <w:r w:rsidRPr="007B5D84">
              <w:rPr>
                <w:rFonts w:cs="Tahoma"/>
                <w:b/>
                <w:sz w:val="18"/>
                <w:szCs w:val="18"/>
                <w:lang w:val="en-GB"/>
              </w:rPr>
              <w:t xml:space="preserve"> </w:t>
            </w:r>
            <w:r>
              <w:rPr>
                <w:rFonts w:cs="Tahoma"/>
                <w:b/>
                <w:sz w:val="18"/>
                <w:szCs w:val="18"/>
                <w:lang w:val="en-GB"/>
              </w:rPr>
              <w:t>by experienced NGO with institutional links to Ministry of Women</w:t>
            </w:r>
            <w:r w:rsidR="00725A63">
              <w:rPr>
                <w:rFonts w:cs="Tahoma"/>
                <w:b/>
                <w:sz w:val="18"/>
                <w:szCs w:val="18"/>
                <w:lang w:val="en-GB"/>
              </w:rPr>
              <w:t>, Children and Poverty Alleviation and existing links through the Zero Tolerance Violence Free Community Programme</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of senior police officers of the Fiji Police Force attending the training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of female police officers attending the training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Personnel knowledge assessed in the Fiji Police Force in SSR, HR and SGBV</w:t>
            </w:r>
          </w:p>
          <w:p w:rsidR="00AF5972" w:rsidRPr="00FB41B3" w:rsidRDefault="00AF5972" w:rsidP="00F916CA">
            <w:pPr>
              <w:spacing w:line="276" w:lineRule="auto"/>
              <w:rPr>
                <w:rFonts w:cs="Tahoma"/>
                <w:sz w:val="18"/>
                <w:szCs w:val="18"/>
                <w:lang w:val="en-GB"/>
              </w:rPr>
            </w:pPr>
            <w:r w:rsidRPr="00FB41B3">
              <w:rPr>
                <w:rFonts w:cs="Tahoma"/>
                <w:sz w:val="18"/>
                <w:szCs w:val="18"/>
                <w:lang w:val="en-GB"/>
              </w:rPr>
              <w:t>Training reports</w:t>
            </w:r>
          </w:p>
          <w:p w:rsidR="00AF5972" w:rsidRPr="00FB41B3" w:rsidRDefault="00AF5972" w:rsidP="00F916CA">
            <w:pPr>
              <w:spacing w:line="276" w:lineRule="auto"/>
              <w:rPr>
                <w:rFonts w:cs="Tahoma"/>
                <w:b/>
                <w:sz w:val="18"/>
                <w:szCs w:val="18"/>
                <w:lang w:val="en-GB"/>
              </w:rPr>
            </w:pPr>
          </w:p>
          <w:p w:rsidR="00AF5972" w:rsidRPr="00FB41B3" w:rsidRDefault="00AF5972" w:rsidP="00F916CA">
            <w:pPr>
              <w:spacing w:line="276" w:lineRule="auto"/>
              <w:rPr>
                <w:rFonts w:cs="Tahoma"/>
                <w:sz w:val="18"/>
                <w:szCs w:val="18"/>
                <w:lang w:val="en-GB"/>
              </w:rPr>
            </w:pP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Paucity of information on SSR, Human Rights and SGBV in the Fiji Police Force</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20,000</w:t>
            </w:r>
          </w:p>
          <w:p w:rsidR="007B5D84" w:rsidRPr="00725A63" w:rsidRDefault="00725A63" w:rsidP="00F916CA">
            <w:pPr>
              <w:spacing w:line="276" w:lineRule="auto"/>
              <w:rPr>
                <w:rFonts w:cs="Tahoma"/>
                <w:b/>
                <w:sz w:val="18"/>
                <w:szCs w:val="18"/>
                <w:lang w:val="en-GB"/>
              </w:rPr>
            </w:pPr>
            <w:r w:rsidRPr="00725A63">
              <w:rPr>
                <w:rFonts w:cs="Tahoma"/>
                <w:b/>
                <w:sz w:val="18"/>
                <w:szCs w:val="18"/>
                <w:lang w:val="en-GB"/>
              </w:rPr>
              <w:t>(Grant to NGO)</w:t>
            </w: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Q1</w:t>
            </w:r>
          </w:p>
        </w:tc>
        <w:tc>
          <w:tcPr>
            <w:tcW w:w="1048" w:type="dxa"/>
          </w:tcPr>
          <w:p w:rsidR="00AF5972" w:rsidRPr="00FB41B3" w:rsidRDefault="006E382F" w:rsidP="00F916CA">
            <w:pPr>
              <w:spacing w:line="276" w:lineRule="auto"/>
              <w:rPr>
                <w:rFonts w:cs="Tahoma"/>
                <w:sz w:val="18"/>
                <w:szCs w:val="18"/>
                <w:lang w:val="en-GB"/>
              </w:rPr>
            </w:pPr>
            <w:r>
              <w:rPr>
                <w:rFonts w:cs="Tahoma"/>
                <w:sz w:val="18"/>
                <w:szCs w:val="18"/>
                <w:lang w:val="en-GB"/>
              </w:rPr>
              <w:t>5,000</w:t>
            </w:r>
          </w:p>
        </w:tc>
      </w:tr>
      <w:tr w:rsidR="00AF5972" w:rsidRPr="00FB41B3" w:rsidTr="00725A63">
        <w:trPr>
          <w:trHeight w:val="1250"/>
        </w:trPr>
        <w:tc>
          <w:tcPr>
            <w:tcW w:w="1980" w:type="dxa"/>
            <w:vMerge/>
          </w:tcPr>
          <w:p w:rsidR="00AF5972" w:rsidRPr="00FB41B3" w:rsidRDefault="00AF5972" w:rsidP="00F916CA">
            <w:pPr>
              <w:spacing w:line="276" w:lineRule="auto"/>
              <w:rPr>
                <w:rFonts w:cs="Tahoma"/>
                <w:sz w:val="18"/>
                <w:szCs w:val="18"/>
                <w:lang w:val="en-GB"/>
              </w:rPr>
            </w:pPr>
          </w:p>
        </w:tc>
        <w:tc>
          <w:tcPr>
            <w:tcW w:w="2410" w:type="dxa"/>
          </w:tcPr>
          <w:p w:rsidR="00AF5972" w:rsidRPr="00FB41B3" w:rsidRDefault="00AF5972" w:rsidP="00F916CA">
            <w:pPr>
              <w:spacing w:line="276" w:lineRule="auto"/>
              <w:jc w:val="both"/>
              <w:rPr>
                <w:sz w:val="18"/>
                <w:szCs w:val="18"/>
              </w:rPr>
            </w:pPr>
            <w:r w:rsidRPr="00FB41B3">
              <w:rPr>
                <w:sz w:val="18"/>
                <w:szCs w:val="18"/>
              </w:rPr>
              <w:t>The cadres of the Corrections Service are trained, accountable, transparent, gender aware and supportive of human rights</w:t>
            </w:r>
          </w:p>
          <w:p w:rsidR="00AF5972" w:rsidRPr="00FB41B3" w:rsidRDefault="00AF5972" w:rsidP="00F916CA">
            <w:pPr>
              <w:spacing w:line="276" w:lineRule="auto"/>
              <w:jc w:val="both"/>
              <w:rPr>
                <w:sz w:val="18"/>
                <w:szCs w:val="18"/>
              </w:rPr>
            </w:pPr>
          </w:p>
        </w:tc>
        <w:tc>
          <w:tcPr>
            <w:tcW w:w="2976" w:type="dxa"/>
          </w:tcPr>
          <w:p w:rsidR="00AF5972" w:rsidRPr="007B5D84" w:rsidRDefault="00AF5972" w:rsidP="007B5D84">
            <w:pPr>
              <w:pStyle w:val="ListParagraph"/>
              <w:numPr>
                <w:ilvl w:val="2"/>
                <w:numId w:val="31"/>
              </w:numPr>
              <w:spacing w:line="276" w:lineRule="auto"/>
              <w:rPr>
                <w:rFonts w:cs="Tahoma"/>
                <w:sz w:val="18"/>
                <w:szCs w:val="18"/>
                <w:lang w:val="en-GB"/>
              </w:rPr>
            </w:pPr>
            <w:r w:rsidRPr="007B5D84">
              <w:rPr>
                <w:rFonts w:cs="Tahoma"/>
                <w:sz w:val="18"/>
                <w:szCs w:val="18"/>
                <w:lang w:val="en-GB"/>
              </w:rPr>
              <w:t xml:space="preserve">Conduct national  training for the senior and middle level cadre of the Fiji Police and Corrections Services on SSR,  Human Rights and </w:t>
            </w:r>
            <w:r w:rsidR="009D79E2" w:rsidRPr="007B5D84">
              <w:rPr>
                <w:rFonts w:cs="Tahoma"/>
                <w:sz w:val="18"/>
                <w:szCs w:val="18"/>
                <w:lang w:val="en-GB"/>
              </w:rPr>
              <w:t xml:space="preserve">prevention of </w:t>
            </w:r>
            <w:r w:rsidRPr="007B5D84">
              <w:rPr>
                <w:rFonts w:cs="Tahoma"/>
                <w:sz w:val="18"/>
                <w:szCs w:val="18"/>
                <w:lang w:val="en-GB"/>
              </w:rPr>
              <w:t>SGBV (OHCHR partnership)</w:t>
            </w:r>
          </w:p>
          <w:p w:rsidR="007B5D84" w:rsidRDefault="007B5D84" w:rsidP="007B5D84">
            <w:pPr>
              <w:spacing w:line="276" w:lineRule="auto"/>
              <w:ind w:left="360"/>
              <w:rPr>
                <w:rFonts w:cs="Tahoma"/>
                <w:sz w:val="18"/>
                <w:szCs w:val="18"/>
                <w:lang w:val="en-GB"/>
              </w:rPr>
            </w:pPr>
          </w:p>
          <w:p w:rsidR="007B5D84" w:rsidRPr="00725A63" w:rsidRDefault="00725A63" w:rsidP="00725A63">
            <w:pPr>
              <w:pStyle w:val="ListParagraph"/>
              <w:spacing w:line="276" w:lineRule="auto"/>
              <w:ind w:left="765"/>
              <w:rPr>
                <w:rFonts w:cs="Tahoma"/>
                <w:b/>
                <w:sz w:val="18"/>
                <w:szCs w:val="18"/>
                <w:lang w:val="en-GB"/>
              </w:rPr>
            </w:pPr>
            <w:r>
              <w:rPr>
                <w:rFonts w:cs="Tahoma"/>
                <w:b/>
                <w:sz w:val="18"/>
                <w:szCs w:val="18"/>
                <w:lang w:val="en-GB"/>
              </w:rPr>
              <w:t xml:space="preserve">As follow on from OHCHR  human rights training completed in Q4 2015, undertake training and workshop for </w:t>
            </w:r>
            <w:r w:rsidR="007B5D84" w:rsidRPr="007B5D84">
              <w:rPr>
                <w:rFonts w:cs="Tahoma"/>
                <w:b/>
                <w:sz w:val="18"/>
                <w:szCs w:val="18"/>
                <w:lang w:val="en-GB"/>
              </w:rPr>
              <w:t>Review of SOP</w:t>
            </w:r>
            <w:r>
              <w:rPr>
                <w:rFonts w:cs="Tahoma"/>
                <w:b/>
                <w:sz w:val="18"/>
                <w:szCs w:val="18"/>
                <w:lang w:val="en-GB"/>
              </w:rPr>
              <w:t>s/Code</w:t>
            </w:r>
            <w:r w:rsidR="007B5D84" w:rsidRPr="007B5D84">
              <w:rPr>
                <w:rFonts w:cs="Tahoma"/>
                <w:b/>
                <w:sz w:val="18"/>
                <w:szCs w:val="18"/>
                <w:lang w:val="en-GB"/>
              </w:rPr>
              <w:t xml:space="preserve"> of Conduct</w:t>
            </w:r>
            <w:r>
              <w:rPr>
                <w:rFonts w:cs="Tahoma"/>
                <w:b/>
                <w:sz w:val="18"/>
                <w:szCs w:val="18"/>
                <w:lang w:val="en-GB"/>
              </w:rPr>
              <w:t xml:space="preserve"> to align to human rights standards.  Also </w:t>
            </w:r>
            <w:r w:rsidR="007B5D84" w:rsidRPr="007B5D84">
              <w:rPr>
                <w:rFonts w:cs="Tahoma"/>
                <w:b/>
                <w:sz w:val="18"/>
                <w:szCs w:val="18"/>
                <w:lang w:val="en-GB"/>
              </w:rPr>
              <w:t>Training with Correction Officers</w:t>
            </w:r>
            <w:r>
              <w:rPr>
                <w:rFonts w:cs="Tahoma"/>
                <w:b/>
                <w:sz w:val="18"/>
                <w:szCs w:val="18"/>
                <w:lang w:val="en-GB"/>
              </w:rPr>
              <w:t>.</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of participants at the senior level attending;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of female corrections officers participating;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Personnel knowledge assessed in Fiji corrections Service in SSR, HR and SGBV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(measure progress and understanding  with questionnaires);</w:t>
            </w:r>
          </w:p>
          <w:p w:rsidR="00AF5972" w:rsidRPr="00FB41B3" w:rsidRDefault="00AF5972" w:rsidP="00F916CA">
            <w:pPr>
              <w:spacing w:line="276" w:lineRule="auto"/>
              <w:rPr>
                <w:rFonts w:cs="Tahoma"/>
                <w:sz w:val="18"/>
                <w:szCs w:val="18"/>
                <w:lang w:val="en-GB"/>
              </w:rPr>
            </w:pPr>
            <w:r w:rsidRPr="00FB41B3">
              <w:rPr>
                <w:rFonts w:cs="Tahoma"/>
                <w:sz w:val="18"/>
                <w:szCs w:val="18"/>
                <w:lang w:val="en-GB"/>
              </w:rPr>
              <w:t>Training report</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Paucity of information on SSR, Human Rights and SGBV in the Fiji Corrections Service</w:t>
            </w:r>
          </w:p>
        </w:tc>
        <w:tc>
          <w:tcPr>
            <w:tcW w:w="1048" w:type="dxa"/>
          </w:tcPr>
          <w:p w:rsidR="00AF5972" w:rsidRDefault="007B5D84" w:rsidP="00F916CA">
            <w:pPr>
              <w:spacing w:line="276" w:lineRule="auto"/>
              <w:rPr>
                <w:rFonts w:cs="Tahoma"/>
                <w:sz w:val="18"/>
                <w:szCs w:val="18"/>
                <w:lang w:val="en-GB"/>
              </w:rPr>
            </w:pPr>
            <w:r>
              <w:rPr>
                <w:rFonts w:cs="Tahoma"/>
                <w:sz w:val="18"/>
                <w:szCs w:val="18"/>
                <w:lang w:val="en-GB"/>
              </w:rPr>
              <w:t>2</w:t>
            </w:r>
            <w:r w:rsidR="007A4DE9">
              <w:rPr>
                <w:rFonts w:cs="Tahoma"/>
                <w:sz w:val="18"/>
                <w:szCs w:val="18"/>
                <w:lang w:val="en-GB"/>
              </w:rPr>
              <w:t>5,</w:t>
            </w:r>
            <w:r w:rsidR="00AF5972">
              <w:rPr>
                <w:rFonts w:cs="Tahoma"/>
                <w:sz w:val="18"/>
                <w:szCs w:val="18"/>
                <w:lang w:val="en-GB"/>
              </w:rPr>
              <w:t>000</w:t>
            </w:r>
          </w:p>
          <w:p w:rsidR="007B5D84" w:rsidRDefault="007B5D84" w:rsidP="00F916CA">
            <w:pPr>
              <w:spacing w:line="276" w:lineRule="auto"/>
              <w:rPr>
                <w:rFonts w:cs="Tahoma"/>
                <w:sz w:val="18"/>
                <w:szCs w:val="18"/>
                <w:lang w:val="en-GB"/>
              </w:rPr>
            </w:pPr>
          </w:p>
          <w:p w:rsidR="00725A63" w:rsidRDefault="00725A63" w:rsidP="00F916CA">
            <w:pPr>
              <w:spacing w:line="276" w:lineRule="auto"/>
              <w:rPr>
                <w:rFonts w:cs="Tahoma"/>
                <w:b/>
                <w:sz w:val="18"/>
                <w:szCs w:val="18"/>
                <w:lang w:val="en-GB"/>
              </w:rPr>
            </w:pPr>
            <w:r>
              <w:rPr>
                <w:rFonts w:cs="Tahoma"/>
                <w:b/>
                <w:sz w:val="18"/>
                <w:szCs w:val="18"/>
                <w:lang w:val="en-GB"/>
              </w:rPr>
              <w:t>(Travel and workshop costs)</w:t>
            </w: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Q1, Q2</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1562"/>
        </w:trPr>
        <w:tc>
          <w:tcPr>
            <w:tcW w:w="1980"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2.2 Security Policies take into consideration the needs of security of women achieved through improved women’s participation in </w:t>
            </w:r>
            <w:r>
              <w:rPr>
                <w:rFonts w:cs="Tahoma"/>
                <w:sz w:val="18"/>
                <w:szCs w:val="18"/>
                <w:lang w:val="en-GB"/>
              </w:rPr>
              <w:t xml:space="preserve">the review and development </w:t>
            </w:r>
            <w:r w:rsidRPr="00FB41B3">
              <w:rPr>
                <w:rFonts w:cs="Tahoma"/>
                <w:sz w:val="18"/>
                <w:szCs w:val="18"/>
                <w:lang w:val="en-GB"/>
              </w:rPr>
              <w:t xml:space="preserve"> of security policies</w:t>
            </w:r>
          </w:p>
          <w:p w:rsidR="00AF5972" w:rsidRPr="00FB41B3" w:rsidRDefault="00AF5972" w:rsidP="00F916CA">
            <w:pPr>
              <w:spacing w:line="276" w:lineRule="auto"/>
              <w:rPr>
                <w:rFonts w:cs="Tahoma"/>
                <w:sz w:val="18"/>
                <w:szCs w:val="18"/>
                <w:lang w:val="en-GB"/>
              </w:rPr>
            </w:pPr>
          </w:p>
          <w:p w:rsidR="00AF5972" w:rsidRPr="00FB41B3" w:rsidRDefault="00AF5972" w:rsidP="00F916CA">
            <w:pPr>
              <w:spacing w:line="276" w:lineRule="auto"/>
              <w:rPr>
                <w:rFonts w:cs="Tahoma"/>
                <w:sz w:val="18"/>
                <w:szCs w:val="18"/>
                <w:lang w:val="en-GB"/>
              </w:rPr>
            </w:pPr>
          </w:p>
        </w:tc>
        <w:tc>
          <w:tcPr>
            <w:tcW w:w="2410"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Women are invited and have access to and are participants in all levels of the development of the Fiji’s national security policy. Women are able to influence the policy to address issues of gender and promote SCR 1325.</w:t>
            </w:r>
          </w:p>
          <w:p w:rsidR="00AF5972" w:rsidRPr="00FB41B3" w:rsidRDefault="00AF5972" w:rsidP="00F916CA">
            <w:pPr>
              <w:spacing w:line="276" w:lineRule="auto"/>
              <w:rPr>
                <w:rFonts w:cs="Tahoma"/>
                <w:sz w:val="18"/>
                <w:szCs w:val="18"/>
                <w:lang w:val="en-GB"/>
              </w:rPr>
            </w:pPr>
          </w:p>
        </w:tc>
        <w:tc>
          <w:tcPr>
            <w:tcW w:w="2976"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2.2.1 Organize a Fiji national women’s forum to discuss SSR, UNSCR 1325, issues affecting women’s wellbeing from a human security perspective and identifying entry points for women’s involvement in Fiji’s Security Sector Review Processes</w:t>
            </w:r>
            <w:r>
              <w:rPr>
                <w:rFonts w:cs="Tahoma"/>
                <w:sz w:val="18"/>
                <w:szCs w:val="18"/>
                <w:lang w:val="en-GB"/>
              </w:rPr>
              <w:t xml:space="preserve">  (To be undertaken in conjunction with 2.1.1)</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and category of participants invited;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of key Government functionaries attending the meeting;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Women attending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Ratio of females participating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decisions and actions taken on board during these consultations into the SSR Policy/Strategy </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Women’s participation in security sector discourse in Fiji (low) </w:t>
            </w:r>
          </w:p>
          <w:p w:rsidR="00AF5972" w:rsidRPr="00FB41B3" w:rsidRDefault="00AF5972" w:rsidP="00F916CA">
            <w:pPr>
              <w:spacing w:line="276" w:lineRule="auto"/>
              <w:rPr>
                <w:rFonts w:cs="Tahoma"/>
                <w:sz w:val="18"/>
                <w:szCs w:val="18"/>
                <w:lang w:val="en-GB"/>
              </w:rPr>
            </w:pPr>
          </w:p>
        </w:tc>
        <w:tc>
          <w:tcPr>
            <w:tcW w:w="1048" w:type="dxa"/>
          </w:tcPr>
          <w:p w:rsidR="00AF5972" w:rsidRDefault="00AF5972" w:rsidP="00F916CA">
            <w:pPr>
              <w:spacing w:line="276" w:lineRule="auto"/>
              <w:rPr>
                <w:sz w:val="18"/>
                <w:szCs w:val="18"/>
              </w:rPr>
            </w:pPr>
            <w:r>
              <w:rPr>
                <w:sz w:val="18"/>
                <w:szCs w:val="18"/>
              </w:rPr>
              <w:t>Funds under 2.1.1</w:t>
            </w:r>
          </w:p>
          <w:p w:rsidR="007B5D84" w:rsidRDefault="007B5D84" w:rsidP="00F916CA">
            <w:pPr>
              <w:spacing w:line="276" w:lineRule="auto"/>
              <w:rPr>
                <w:sz w:val="18"/>
                <w:szCs w:val="18"/>
              </w:rPr>
            </w:pPr>
          </w:p>
          <w:p w:rsidR="007B5D84" w:rsidRDefault="007B5D84" w:rsidP="00F916CA">
            <w:pPr>
              <w:spacing w:line="276" w:lineRule="auto"/>
              <w:rPr>
                <w:sz w:val="18"/>
                <w:szCs w:val="18"/>
              </w:rPr>
            </w:pPr>
            <w:r>
              <w:rPr>
                <w:sz w:val="18"/>
                <w:szCs w:val="18"/>
              </w:rPr>
              <w:t>Q3</w:t>
            </w:r>
          </w:p>
        </w:tc>
        <w:tc>
          <w:tcPr>
            <w:tcW w:w="1048" w:type="dxa"/>
          </w:tcPr>
          <w:p w:rsidR="00AF5972" w:rsidRPr="00FB41B3" w:rsidRDefault="00AF5972" w:rsidP="00F916CA">
            <w:pPr>
              <w:spacing w:line="276" w:lineRule="auto"/>
              <w:rPr>
                <w:rFonts w:cs="Tahoma"/>
                <w:sz w:val="18"/>
                <w:szCs w:val="18"/>
                <w:lang w:val="en-GB"/>
              </w:rPr>
            </w:pPr>
            <w:r>
              <w:rPr>
                <w:sz w:val="18"/>
                <w:szCs w:val="18"/>
              </w:rPr>
              <w:t>10.000</w:t>
            </w:r>
          </w:p>
        </w:tc>
      </w:tr>
      <w:tr w:rsidR="00AF5972" w:rsidRPr="00FB41B3" w:rsidTr="0034419D">
        <w:trPr>
          <w:trHeight w:val="1562"/>
        </w:trPr>
        <w:tc>
          <w:tcPr>
            <w:tcW w:w="1980" w:type="dxa"/>
          </w:tcPr>
          <w:p w:rsidR="00AF5972" w:rsidRPr="00FB41B3" w:rsidRDefault="00AF5972" w:rsidP="00F916CA">
            <w:pPr>
              <w:spacing w:line="276" w:lineRule="auto"/>
              <w:rPr>
                <w:rFonts w:cs="Tahoma"/>
                <w:sz w:val="18"/>
                <w:szCs w:val="18"/>
                <w:lang w:val="en-GB"/>
              </w:rPr>
            </w:pPr>
            <w:r w:rsidRPr="00FB41B3">
              <w:rPr>
                <w:rFonts w:cs="Tahoma"/>
                <w:sz w:val="18"/>
                <w:szCs w:val="18"/>
              </w:rPr>
              <w:t xml:space="preserve">2.3 </w:t>
            </w:r>
            <w:r w:rsidRPr="00FB41B3">
              <w:rPr>
                <w:rFonts w:cs="Tahoma"/>
                <w:sz w:val="18"/>
                <w:szCs w:val="18"/>
                <w:lang w:val="en-GB"/>
              </w:rPr>
              <w:t>Security Policies take into consideration the needs of security of youth to create a more stable future</w:t>
            </w:r>
          </w:p>
        </w:tc>
        <w:tc>
          <w:tcPr>
            <w:tcW w:w="2410"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Youth are invited and have access to and are participants in all levels of the development of Fiji’s security policies and implementation and are able to influence the policy for improved prevention measures and increased security for youth.</w:t>
            </w:r>
          </w:p>
          <w:p w:rsidR="00AF5972" w:rsidRPr="00FB41B3" w:rsidRDefault="00AF5972" w:rsidP="00F916CA">
            <w:pPr>
              <w:spacing w:line="276" w:lineRule="auto"/>
              <w:rPr>
                <w:rFonts w:cs="Tahoma"/>
                <w:sz w:val="18"/>
                <w:szCs w:val="18"/>
                <w:lang w:val="en-GB"/>
              </w:rPr>
            </w:pPr>
          </w:p>
        </w:tc>
        <w:tc>
          <w:tcPr>
            <w:tcW w:w="2976" w:type="dxa"/>
          </w:tcPr>
          <w:p w:rsidR="00AF5972" w:rsidRPr="00FB41B3" w:rsidRDefault="00AF5972" w:rsidP="00F916CA">
            <w:pPr>
              <w:spacing w:line="276" w:lineRule="auto"/>
              <w:rPr>
                <w:rFonts w:eastAsia="Times New Roman" w:cs="Times New Roman"/>
                <w:color w:val="000000"/>
                <w:sz w:val="18"/>
                <w:szCs w:val="18"/>
                <w:lang w:val="en-GB"/>
              </w:rPr>
            </w:pPr>
            <w:r>
              <w:rPr>
                <w:rFonts w:eastAsia="Times New Roman" w:cs="Times New Roman"/>
                <w:color w:val="000000"/>
                <w:sz w:val="18"/>
                <w:szCs w:val="18"/>
                <w:lang w:val="en-GB"/>
              </w:rPr>
              <w:t>2.3.1</w:t>
            </w:r>
            <w:r w:rsidRPr="00FB41B3">
              <w:rPr>
                <w:rFonts w:eastAsia="Times New Roman" w:cs="Times New Roman"/>
                <w:color w:val="000000"/>
                <w:sz w:val="18"/>
                <w:szCs w:val="18"/>
                <w:lang w:val="en-GB"/>
              </w:rPr>
              <w:t xml:space="preserve"> </w:t>
            </w:r>
            <w:r w:rsidRPr="00FB41B3">
              <w:rPr>
                <w:rFonts w:cs="Tahoma"/>
                <w:sz w:val="18"/>
                <w:szCs w:val="18"/>
              </w:rPr>
              <w:t>Partner with the National Youth Council (NYC) of Fiji and UNDP Strengthening Civil Society Engagement for Fiji Initiative (SCEFI) to organize a national symposium on Human Security in Fiji and how the youth can contribute to security sector discourse</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and category of participants invited;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of key Government functionaries attending the meeting;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youth attending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Ratio of females participating</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decisions and actions taken on board during these consultations into the SSR Policy/Strategy</w:t>
            </w:r>
          </w:p>
        </w:tc>
        <w:tc>
          <w:tcPr>
            <w:tcW w:w="2409" w:type="dxa"/>
          </w:tcPr>
          <w:p w:rsidR="00AF5972" w:rsidRDefault="00AF5972" w:rsidP="00F916CA">
            <w:pPr>
              <w:spacing w:line="276" w:lineRule="auto"/>
              <w:rPr>
                <w:rFonts w:cs="Tahoma"/>
                <w:sz w:val="18"/>
                <w:szCs w:val="18"/>
                <w:lang w:val="en-GB"/>
              </w:rPr>
            </w:pPr>
            <w:r w:rsidRPr="00FB41B3">
              <w:rPr>
                <w:rFonts w:cs="Tahoma"/>
                <w:sz w:val="18"/>
                <w:szCs w:val="18"/>
                <w:lang w:val="en-GB"/>
              </w:rPr>
              <w:t>Youth’s participation in the security sector discourse in Fiji (low)</w:t>
            </w:r>
          </w:p>
          <w:p w:rsidR="007B5D84" w:rsidRDefault="007B5D84" w:rsidP="00F916CA">
            <w:pPr>
              <w:spacing w:line="276" w:lineRule="auto"/>
              <w:rPr>
                <w:rFonts w:cs="Tahoma"/>
                <w:sz w:val="18"/>
                <w:szCs w:val="18"/>
                <w:lang w:val="en-GB"/>
              </w:rPr>
            </w:pP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Q2</w:t>
            </w:r>
          </w:p>
        </w:tc>
        <w:tc>
          <w:tcPr>
            <w:tcW w:w="1048" w:type="dxa"/>
          </w:tcPr>
          <w:p w:rsidR="00AF5972" w:rsidRDefault="00AF5972" w:rsidP="00F916CA">
            <w:pPr>
              <w:spacing w:line="276" w:lineRule="auto"/>
              <w:rPr>
                <w:sz w:val="18"/>
                <w:szCs w:val="18"/>
              </w:rPr>
            </w:pPr>
            <w:r>
              <w:rPr>
                <w:sz w:val="18"/>
                <w:szCs w:val="18"/>
              </w:rPr>
              <w:t>In kind</w:t>
            </w:r>
          </w:p>
        </w:tc>
        <w:tc>
          <w:tcPr>
            <w:tcW w:w="1048" w:type="dxa"/>
          </w:tcPr>
          <w:p w:rsidR="00AF5972" w:rsidRPr="00FB41B3" w:rsidRDefault="00AF5972" w:rsidP="00F916CA">
            <w:pPr>
              <w:spacing w:line="276" w:lineRule="auto"/>
              <w:rPr>
                <w:sz w:val="18"/>
                <w:szCs w:val="18"/>
              </w:rPr>
            </w:pPr>
          </w:p>
        </w:tc>
      </w:tr>
      <w:tr w:rsidR="00AF5972" w:rsidRPr="00FB41B3" w:rsidTr="0034419D">
        <w:trPr>
          <w:trHeight w:val="1562"/>
        </w:trPr>
        <w:tc>
          <w:tcPr>
            <w:tcW w:w="1980"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2.4 Parliament in Fiji has increased capacity to exercise  oversight </w:t>
            </w:r>
            <w:r>
              <w:rPr>
                <w:rFonts w:cs="Tahoma"/>
                <w:sz w:val="18"/>
                <w:szCs w:val="18"/>
                <w:lang w:val="en-GB"/>
              </w:rPr>
              <w:t xml:space="preserve">functions for </w:t>
            </w:r>
            <w:r w:rsidRPr="00FB41B3">
              <w:rPr>
                <w:rFonts w:cs="Tahoma"/>
                <w:sz w:val="18"/>
                <w:szCs w:val="18"/>
                <w:lang w:val="en-GB"/>
              </w:rPr>
              <w:t xml:space="preserve">f the Security Sector </w:t>
            </w:r>
          </w:p>
        </w:tc>
        <w:tc>
          <w:tcPr>
            <w:tcW w:w="2410"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Strengthen the oversight functions of the Parliamentary Standing Committee on Defence and Security (not least as some members have just been elected and are new)</w:t>
            </w:r>
          </w:p>
        </w:tc>
        <w:tc>
          <w:tcPr>
            <w:tcW w:w="2976" w:type="dxa"/>
          </w:tcPr>
          <w:p w:rsidR="00AF5972" w:rsidRPr="00FB41B3" w:rsidRDefault="00AF5972" w:rsidP="00F916CA">
            <w:pPr>
              <w:spacing w:line="276" w:lineRule="auto"/>
              <w:rPr>
                <w:rFonts w:cs="Tahoma"/>
                <w:sz w:val="18"/>
                <w:szCs w:val="18"/>
                <w:lang w:val="en-GB"/>
              </w:rPr>
            </w:pPr>
            <w:r>
              <w:rPr>
                <w:rFonts w:cs="Tahoma"/>
                <w:sz w:val="18"/>
                <w:szCs w:val="18"/>
                <w:lang w:val="en-GB"/>
              </w:rPr>
              <w:t>2</w:t>
            </w:r>
            <w:r w:rsidRPr="00FB41B3">
              <w:rPr>
                <w:rFonts w:cs="Tahoma"/>
                <w:sz w:val="18"/>
                <w:szCs w:val="18"/>
                <w:lang w:val="en-GB"/>
              </w:rPr>
              <w:t>.</w:t>
            </w:r>
            <w:r>
              <w:rPr>
                <w:rFonts w:cs="Tahoma"/>
                <w:sz w:val="18"/>
                <w:szCs w:val="18"/>
                <w:lang w:val="en-GB"/>
              </w:rPr>
              <w:t>4</w:t>
            </w:r>
            <w:r w:rsidRPr="00FB41B3">
              <w:rPr>
                <w:rFonts w:cs="Tahoma"/>
                <w:sz w:val="18"/>
                <w:szCs w:val="18"/>
                <w:lang w:val="en-GB"/>
              </w:rPr>
              <w:t>.1  Partner with the UNDP Parliamentary Project to organize training for the  Parliamentary standing committee on Defence and Security on Parliamentary Oversight functions</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of Parliamentarians in the standing committee attending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of Parliamentarians aware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Annual Parliamentary Report</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Weak oversight function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open inquiries </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 parliamentary debates on defence and security expenditure </w:t>
            </w:r>
          </w:p>
        </w:tc>
        <w:tc>
          <w:tcPr>
            <w:tcW w:w="1048" w:type="dxa"/>
          </w:tcPr>
          <w:p w:rsidR="00AF5972" w:rsidRDefault="00AF5972" w:rsidP="00F916CA">
            <w:pPr>
              <w:spacing w:line="276" w:lineRule="auto"/>
              <w:rPr>
                <w:rFonts w:cs="Tahoma"/>
                <w:sz w:val="18"/>
                <w:szCs w:val="18"/>
                <w:lang w:val="en-GB"/>
              </w:rPr>
            </w:pPr>
          </w:p>
        </w:tc>
        <w:tc>
          <w:tcPr>
            <w:tcW w:w="1048" w:type="dxa"/>
          </w:tcPr>
          <w:p w:rsidR="00AF5972" w:rsidRPr="00FB41B3" w:rsidRDefault="00AF5972" w:rsidP="00F916CA">
            <w:pPr>
              <w:spacing w:line="276" w:lineRule="auto"/>
              <w:rPr>
                <w:rFonts w:cs="Tahoma"/>
                <w:sz w:val="18"/>
                <w:szCs w:val="18"/>
                <w:lang w:val="en-GB"/>
              </w:rPr>
            </w:pPr>
            <w:r>
              <w:rPr>
                <w:rFonts w:cs="Tahoma"/>
                <w:sz w:val="18"/>
                <w:szCs w:val="18"/>
                <w:lang w:val="en-GB"/>
              </w:rPr>
              <w:t>5,000</w:t>
            </w:r>
          </w:p>
        </w:tc>
      </w:tr>
      <w:tr w:rsidR="00AF5972" w:rsidRPr="00FB41B3" w:rsidTr="0034419D">
        <w:trPr>
          <w:trHeight w:val="1562"/>
        </w:trPr>
        <w:tc>
          <w:tcPr>
            <w:tcW w:w="1980" w:type="dxa"/>
            <w:vMerge w:val="restart"/>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2.5 Peace keeping personnel </w:t>
            </w:r>
            <w:r>
              <w:rPr>
                <w:rFonts w:cs="Tahoma"/>
                <w:sz w:val="18"/>
                <w:szCs w:val="18"/>
                <w:lang w:val="en-GB"/>
              </w:rPr>
              <w:t>are</w:t>
            </w:r>
            <w:r w:rsidRPr="00FB41B3">
              <w:rPr>
                <w:rFonts w:cs="Tahoma"/>
                <w:sz w:val="18"/>
                <w:szCs w:val="18"/>
                <w:lang w:val="en-GB"/>
              </w:rPr>
              <w:t xml:space="preserve"> better prepared and trained on key human rights and gender issues before deployment</w:t>
            </w:r>
          </w:p>
        </w:tc>
        <w:tc>
          <w:tcPr>
            <w:tcW w:w="2410" w:type="dxa"/>
            <w:vMerge w:val="restart"/>
          </w:tcPr>
          <w:p w:rsidR="00AF5972" w:rsidRPr="00FB41B3" w:rsidRDefault="00AF5972" w:rsidP="00F916CA">
            <w:pPr>
              <w:spacing w:line="276" w:lineRule="auto"/>
              <w:rPr>
                <w:rFonts w:cs="Tahoma"/>
                <w:sz w:val="18"/>
                <w:szCs w:val="18"/>
                <w:lang w:val="en-GB"/>
              </w:rPr>
            </w:pPr>
            <w:r w:rsidRPr="00FB41B3">
              <w:rPr>
                <w:rFonts w:cs="Tahoma"/>
                <w:sz w:val="18"/>
                <w:szCs w:val="18"/>
                <w:lang w:val="en-GB"/>
              </w:rPr>
              <w:t xml:space="preserve">Established curricula and training is introduced for peace keepers on </w:t>
            </w:r>
            <w:r>
              <w:rPr>
                <w:rFonts w:cs="Tahoma"/>
                <w:sz w:val="18"/>
                <w:szCs w:val="18"/>
                <w:lang w:val="en-GB"/>
              </w:rPr>
              <w:t xml:space="preserve">Human Rights, Rule of Law, SGBV, </w:t>
            </w:r>
            <w:r w:rsidRPr="00FB41B3">
              <w:rPr>
                <w:rFonts w:cs="Tahoma"/>
                <w:sz w:val="18"/>
                <w:szCs w:val="18"/>
                <w:lang w:val="en-GB"/>
              </w:rPr>
              <w:t>Gender</w:t>
            </w:r>
            <w:r>
              <w:rPr>
                <w:rFonts w:cs="Tahoma"/>
                <w:sz w:val="18"/>
                <w:szCs w:val="18"/>
                <w:lang w:val="en-GB"/>
              </w:rPr>
              <w:t xml:space="preserve"> and community security (community relations)</w:t>
            </w:r>
          </w:p>
        </w:tc>
        <w:tc>
          <w:tcPr>
            <w:tcW w:w="2976" w:type="dxa"/>
          </w:tcPr>
          <w:p w:rsidR="00AF5972" w:rsidRDefault="00AF5972" w:rsidP="00F916CA">
            <w:pPr>
              <w:spacing w:line="276" w:lineRule="auto"/>
              <w:rPr>
                <w:rFonts w:cs="Tahoma"/>
                <w:sz w:val="18"/>
                <w:szCs w:val="18"/>
                <w:lang w:val="en-GB"/>
              </w:rPr>
            </w:pPr>
            <w:r>
              <w:rPr>
                <w:rFonts w:cs="Tahoma"/>
                <w:sz w:val="18"/>
                <w:szCs w:val="18"/>
                <w:lang w:val="en-GB"/>
              </w:rPr>
              <w:t xml:space="preserve">2.5.1 </w:t>
            </w:r>
            <w:r w:rsidRPr="00FB41B3">
              <w:rPr>
                <w:rFonts w:cs="Tahoma"/>
                <w:sz w:val="18"/>
                <w:szCs w:val="18"/>
                <w:lang w:val="en-GB"/>
              </w:rPr>
              <w:t xml:space="preserve">Support to training sessions (TOT) and introducing appropriate curricula </w:t>
            </w:r>
            <w:r>
              <w:rPr>
                <w:rFonts w:cs="Tahoma"/>
                <w:sz w:val="18"/>
                <w:szCs w:val="18"/>
                <w:lang w:val="en-GB"/>
              </w:rPr>
              <w:t>on HR and SGBV for military deploying to UN Peacekeeping missions.</w:t>
            </w:r>
          </w:p>
          <w:p w:rsidR="007B5D84" w:rsidRDefault="007B5D84" w:rsidP="00F916CA">
            <w:pPr>
              <w:spacing w:line="276" w:lineRule="auto"/>
              <w:rPr>
                <w:rFonts w:cs="Tahoma"/>
                <w:sz w:val="18"/>
                <w:szCs w:val="18"/>
                <w:lang w:val="en-GB"/>
              </w:rPr>
            </w:pP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DPKO support</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Curricula introduce</w:t>
            </w:r>
            <w:r>
              <w:rPr>
                <w:rFonts w:cs="Tahoma"/>
                <w:sz w:val="18"/>
                <w:szCs w:val="18"/>
                <w:lang w:val="en-GB"/>
              </w:rPr>
              <w:t>d</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peace keepers trained</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Security personnel knowledge on respective areas is low;</w:t>
            </w:r>
          </w:p>
          <w:p w:rsidR="00AF5972" w:rsidRPr="00FB41B3" w:rsidRDefault="00AF5972" w:rsidP="00F916CA">
            <w:pPr>
              <w:spacing w:line="276" w:lineRule="auto"/>
              <w:rPr>
                <w:rFonts w:cs="Tahoma"/>
                <w:sz w:val="18"/>
                <w:szCs w:val="18"/>
                <w:lang w:val="en-GB"/>
              </w:rPr>
            </w:pPr>
            <w:r w:rsidRPr="00FB41B3">
              <w:rPr>
                <w:rFonts w:cs="Tahoma"/>
                <w:sz w:val="18"/>
                <w:szCs w:val="18"/>
                <w:lang w:val="en-GB"/>
              </w:rPr>
              <w:t>Existing training programme</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1</w:t>
            </w:r>
            <w:r w:rsidR="0080281A">
              <w:rPr>
                <w:rFonts w:cs="Tahoma"/>
                <w:sz w:val="18"/>
                <w:szCs w:val="18"/>
                <w:lang w:val="en-GB"/>
              </w:rPr>
              <w:t>0</w:t>
            </w:r>
            <w:r>
              <w:rPr>
                <w:rFonts w:cs="Tahoma"/>
                <w:sz w:val="18"/>
                <w:szCs w:val="18"/>
                <w:lang w:val="en-GB"/>
              </w:rPr>
              <w:t>,000</w:t>
            </w:r>
          </w:p>
          <w:p w:rsidR="007B5D84" w:rsidRDefault="007B5D84" w:rsidP="00F916CA">
            <w:pPr>
              <w:spacing w:line="276" w:lineRule="auto"/>
              <w:rPr>
                <w:rFonts w:cs="Tahoma"/>
                <w:sz w:val="18"/>
                <w:szCs w:val="18"/>
                <w:lang w:val="en-GB"/>
              </w:rPr>
            </w:pP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Q2</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1562"/>
        </w:trPr>
        <w:tc>
          <w:tcPr>
            <w:tcW w:w="1980" w:type="dxa"/>
            <w:vMerge/>
          </w:tcPr>
          <w:p w:rsidR="00AF5972" w:rsidRPr="00FB41B3" w:rsidRDefault="00AF5972" w:rsidP="00F916CA">
            <w:pPr>
              <w:spacing w:line="276" w:lineRule="auto"/>
              <w:rPr>
                <w:rFonts w:cs="Tahoma"/>
                <w:sz w:val="18"/>
                <w:szCs w:val="18"/>
                <w:lang w:val="en-GB"/>
              </w:rPr>
            </w:pPr>
          </w:p>
        </w:tc>
        <w:tc>
          <w:tcPr>
            <w:tcW w:w="2410" w:type="dxa"/>
            <w:vMerge/>
          </w:tcPr>
          <w:p w:rsidR="00AF5972" w:rsidRPr="00FB41B3" w:rsidRDefault="00AF5972" w:rsidP="00F916CA">
            <w:pPr>
              <w:spacing w:line="276" w:lineRule="auto"/>
              <w:rPr>
                <w:rFonts w:cs="Tahoma"/>
                <w:sz w:val="18"/>
                <w:szCs w:val="18"/>
                <w:lang w:val="en-GB"/>
              </w:rPr>
            </w:pPr>
          </w:p>
        </w:tc>
        <w:tc>
          <w:tcPr>
            <w:tcW w:w="2976" w:type="dxa"/>
          </w:tcPr>
          <w:p w:rsidR="007B5D84" w:rsidRDefault="00AF5972" w:rsidP="00F916CA">
            <w:pPr>
              <w:spacing w:line="276" w:lineRule="auto"/>
              <w:rPr>
                <w:rFonts w:cs="Tahoma"/>
                <w:sz w:val="18"/>
                <w:szCs w:val="18"/>
                <w:lang w:val="en-GB"/>
              </w:rPr>
            </w:pPr>
            <w:r>
              <w:rPr>
                <w:rFonts w:cs="Tahoma"/>
                <w:sz w:val="18"/>
                <w:szCs w:val="18"/>
                <w:lang w:val="en-GB"/>
              </w:rPr>
              <w:t>2.5.2 Support to training sessions (TOT) on community relations and community security</w:t>
            </w:r>
          </w:p>
          <w:p w:rsidR="007B5D84" w:rsidRDefault="007B5D84" w:rsidP="00F916CA">
            <w:pPr>
              <w:spacing w:line="276" w:lineRule="auto"/>
              <w:rPr>
                <w:rFonts w:cs="Tahoma"/>
                <w:sz w:val="18"/>
                <w:szCs w:val="18"/>
                <w:lang w:val="en-GB"/>
              </w:rPr>
            </w:pPr>
          </w:p>
          <w:p w:rsidR="00AF5972" w:rsidRPr="007B5D84" w:rsidRDefault="007B5D84" w:rsidP="00F916CA">
            <w:pPr>
              <w:spacing w:line="276" w:lineRule="auto"/>
              <w:rPr>
                <w:rFonts w:cs="Tahoma"/>
                <w:b/>
                <w:sz w:val="18"/>
                <w:szCs w:val="18"/>
                <w:lang w:val="en-GB"/>
              </w:rPr>
            </w:pPr>
            <w:r w:rsidRPr="007B5D84">
              <w:rPr>
                <w:rFonts w:cs="Tahoma"/>
                <w:b/>
                <w:sz w:val="18"/>
                <w:szCs w:val="18"/>
                <w:lang w:val="en-GB"/>
              </w:rPr>
              <w:t>DPKO support</w:t>
            </w:r>
          </w:p>
        </w:tc>
        <w:tc>
          <w:tcPr>
            <w:tcW w:w="2127"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Curricula introduce</w:t>
            </w:r>
            <w:r>
              <w:rPr>
                <w:rFonts w:cs="Tahoma"/>
                <w:sz w:val="18"/>
                <w:szCs w:val="18"/>
                <w:lang w:val="en-GB"/>
              </w:rPr>
              <w:t>d</w:t>
            </w:r>
          </w:p>
          <w:p w:rsidR="00AF5972" w:rsidRPr="00FB41B3" w:rsidRDefault="00AF5972" w:rsidP="00F916CA">
            <w:pPr>
              <w:spacing w:line="276" w:lineRule="auto"/>
              <w:rPr>
                <w:rFonts w:cs="Tahoma"/>
                <w:sz w:val="18"/>
                <w:szCs w:val="18"/>
                <w:lang w:val="en-GB"/>
              </w:rPr>
            </w:pPr>
            <w:r w:rsidRPr="00FB41B3">
              <w:rPr>
                <w:rFonts w:cs="Tahoma"/>
                <w:sz w:val="18"/>
                <w:szCs w:val="18"/>
                <w:lang w:val="en-GB"/>
              </w:rPr>
              <w:t># peace keepers trained</w:t>
            </w:r>
          </w:p>
        </w:tc>
        <w:tc>
          <w:tcPr>
            <w:tcW w:w="2409" w:type="dxa"/>
          </w:tcPr>
          <w:p w:rsidR="00AF5972" w:rsidRPr="00FB41B3" w:rsidRDefault="00AF5972" w:rsidP="00F916CA">
            <w:pPr>
              <w:spacing w:line="276" w:lineRule="auto"/>
              <w:rPr>
                <w:rFonts w:cs="Tahoma"/>
                <w:sz w:val="18"/>
                <w:szCs w:val="18"/>
                <w:lang w:val="en-GB"/>
              </w:rPr>
            </w:pPr>
            <w:r w:rsidRPr="00FB41B3">
              <w:rPr>
                <w:rFonts w:cs="Tahoma"/>
                <w:sz w:val="18"/>
                <w:szCs w:val="18"/>
                <w:lang w:val="en-GB"/>
              </w:rPr>
              <w:t>Security personnel knowledge on respective areas is low;</w:t>
            </w:r>
          </w:p>
          <w:p w:rsidR="00AF5972" w:rsidRPr="00FB41B3" w:rsidRDefault="00AF5972" w:rsidP="00F916CA">
            <w:pPr>
              <w:spacing w:line="276" w:lineRule="auto"/>
              <w:rPr>
                <w:rFonts w:cs="Tahoma"/>
                <w:sz w:val="18"/>
                <w:szCs w:val="18"/>
                <w:lang w:val="en-GB"/>
              </w:rPr>
            </w:pPr>
            <w:r w:rsidRPr="00FB41B3">
              <w:rPr>
                <w:rFonts w:cs="Tahoma"/>
                <w:sz w:val="18"/>
                <w:szCs w:val="18"/>
                <w:lang w:val="en-GB"/>
              </w:rPr>
              <w:t>Existing training programme</w:t>
            </w:r>
          </w:p>
        </w:tc>
        <w:tc>
          <w:tcPr>
            <w:tcW w:w="1048" w:type="dxa"/>
          </w:tcPr>
          <w:p w:rsidR="00AF5972" w:rsidRDefault="00AF5972" w:rsidP="00F916CA">
            <w:pPr>
              <w:spacing w:line="276" w:lineRule="auto"/>
              <w:rPr>
                <w:rFonts w:cs="Tahoma"/>
                <w:sz w:val="18"/>
                <w:szCs w:val="18"/>
                <w:lang w:val="en-GB"/>
              </w:rPr>
            </w:pPr>
            <w:r>
              <w:rPr>
                <w:rFonts w:cs="Tahoma"/>
                <w:sz w:val="18"/>
                <w:szCs w:val="18"/>
                <w:lang w:val="en-GB"/>
              </w:rPr>
              <w:t>1</w:t>
            </w:r>
            <w:r w:rsidR="0080281A">
              <w:rPr>
                <w:rFonts w:cs="Tahoma"/>
                <w:sz w:val="18"/>
                <w:szCs w:val="18"/>
                <w:lang w:val="en-GB"/>
              </w:rPr>
              <w:t>0</w:t>
            </w:r>
            <w:r>
              <w:rPr>
                <w:rFonts w:cs="Tahoma"/>
                <w:sz w:val="18"/>
                <w:szCs w:val="18"/>
                <w:lang w:val="en-GB"/>
              </w:rPr>
              <w:t>,000</w:t>
            </w:r>
          </w:p>
          <w:p w:rsidR="007B5D84" w:rsidRDefault="007B5D84" w:rsidP="00F916CA">
            <w:pPr>
              <w:spacing w:line="276" w:lineRule="auto"/>
              <w:rPr>
                <w:rFonts w:cs="Tahoma"/>
                <w:sz w:val="18"/>
                <w:szCs w:val="18"/>
                <w:lang w:val="en-GB"/>
              </w:rPr>
            </w:pPr>
          </w:p>
          <w:p w:rsidR="007B5D84" w:rsidRPr="007B5D84" w:rsidRDefault="007B5D84" w:rsidP="00F916CA">
            <w:pPr>
              <w:spacing w:line="276" w:lineRule="auto"/>
              <w:rPr>
                <w:rFonts w:cs="Tahoma"/>
                <w:b/>
                <w:sz w:val="18"/>
                <w:szCs w:val="18"/>
                <w:lang w:val="en-GB"/>
              </w:rPr>
            </w:pPr>
            <w:r w:rsidRPr="007B5D84">
              <w:rPr>
                <w:rFonts w:cs="Tahoma"/>
                <w:b/>
                <w:sz w:val="18"/>
                <w:szCs w:val="18"/>
                <w:lang w:val="en-GB"/>
              </w:rPr>
              <w:t>Q2</w:t>
            </w:r>
          </w:p>
        </w:tc>
        <w:tc>
          <w:tcPr>
            <w:tcW w:w="1048" w:type="dxa"/>
          </w:tcPr>
          <w:p w:rsidR="00AF5972" w:rsidRPr="00FB41B3" w:rsidRDefault="00AF5972" w:rsidP="00F916CA">
            <w:pPr>
              <w:spacing w:line="276" w:lineRule="auto"/>
              <w:rPr>
                <w:rFonts w:cs="Tahoma"/>
                <w:sz w:val="18"/>
                <w:szCs w:val="18"/>
                <w:lang w:val="en-GB"/>
              </w:rPr>
            </w:pPr>
          </w:p>
        </w:tc>
      </w:tr>
      <w:tr w:rsidR="00AF5972" w:rsidRPr="00FB41B3" w:rsidTr="0034419D">
        <w:trPr>
          <w:trHeight w:val="377"/>
        </w:trPr>
        <w:tc>
          <w:tcPr>
            <w:tcW w:w="1980" w:type="dxa"/>
            <w:shd w:val="clear" w:color="auto" w:fill="D9D9D9" w:themeFill="background1" w:themeFillShade="D9"/>
          </w:tcPr>
          <w:p w:rsidR="00AF5972" w:rsidRPr="00FB41B3" w:rsidRDefault="00AF5972" w:rsidP="00F916CA">
            <w:pPr>
              <w:spacing w:line="276" w:lineRule="auto"/>
              <w:rPr>
                <w:rFonts w:cs="Tahoma"/>
                <w:sz w:val="18"/>
                <w:szCs w:val="18"/>
                <w:lang w:val="en-GB"/>
              </w:rPr>
            </w:pPr>
            <w:r>
              <w:rPr>
                <w:rFonts w:cs="Tahoma"/>
                <w:sz w:val="18"/>
                <w:szCs w:val="18"/>
                <w:lang w:val="en-GB"/>
              </w:rPr>
              <w:t xml:space="preserve">Output 2 sub-total </w:t>
            </w:r>
          </w:p>
        </w:tc>
        <w:tc>
          <w:tcPr>
            <w:tcW w:w="9922" w:type="dxa"/>
            <w:gridSpan w:val="4"/>
            <w:shd w:val="clear" w:color="auto" w:fill="D9D9D9" w:themeFill="background1" w:themeFillShade="D9"/>
          </w:tcPr>
          <w:p w:rsidR="00AF5972" w:rsidRPr="00FB41B3" w:rsidRDefault="00AF5972" w:rsidP="00F916CA">
            <w:pPr>
              <w:spacing w:line="276" w:lineRule="auto"/>
              <w:rPr>
                <w:rFonts w:cs="Tahoma"/>
                <w:sz w:val="18"/>
                <w:szCs w:val="18"/>
                <w:lang w:val="en-GB"/>
              </w:rPr>
            </w:pPr>
          </w:p>
        </w:tc>
        <w:tc>
          <w:tcPr>
            <w:tcW w:w="1048" w:type="dxa"/>
            <w:shd w:val="clear" w:color="auto" w:fill="D9D9D9" w:themeFill="background1" w:themeFillShade="D9"/>
          </w:tcPr>
          <w:p w:rsidR="00AF5972" w:rsidDel="00B5714F" w:rsidRDefault="0080281A" w:rsidP="00F916CA">
            <w:pPr>
              <w:spacing w:line="276" w:lineRule="auto"/>
              <w:rPr>
                <w:rFonts w:cs="Tahoma"/>
                <w:sz w:val="18"/>
                <w:szCs w:val="18"/>
                <w:lang w:val="en-GB"/>
              </w:rPr>
            </w:pPr>
            <w:r>
              <w:rPr>
                <w:rFonts w:cs="Tahoma"/>
                <w:sz w:val="18"/>
                <w:szCs w:val="18"/>
                <w:lang w:val="en-GB"/>
              </w:rPr>
              <w:t>12</w:t>
            </w:r>
            <w:r w:rsidR="00AF5972">
              <w:rPr>
                <w:rFonts w:cs="Tahoma"/>
                <w:sz w:val="18"/>
                <w:szCs w:val="18"/>
                <w:lang w:val="en-GB"/>
              </w:rPr>
              <w:t>1,210</w:t>
            </w:r>
          </w:p>
        </w:tc>
        <w:tc>
          <w:tcPr>
            <w:tcW w:w="1048" w:type="dxa"/>
            <w:shd w:val="clear" w:color="auto" w:fill="D9D9D9" w:themeFill="background1" w:themeFillShade="D9"/>
          </w:tcPr>
          <w:p w:rsidR="00AF5972" w:rsidRDefault="006E382F" w:rsidP="00AF5972">
            <w:pPr>
              <w:spacing w:line="276" w:lineRule="auto"/>
              <w:rPr>
                <w:rFonts w:cs="Tahoma"/>
                <w:sz w:val="18"/>
                <w:szCs w:val="18"/>
                <w:lang w:val="en-GB"/>
              </w:rPr>
            </w:pPr>
            <w:r>
              <w:rPr>
                <w:rFonts w:cs="Tahoma"/>
                <w:sz w:val="18"/>
                <w:szCs w:val="18"/>
                <w:lang w:val="en-GB"/>
              </w:rPr>
              <w:t>20</w:t>
            </w:r>
            <w:r w:rsidR="00AF5972">
              <w:rPr>
                <w:rFonts w:cs="Tahoma"/>
                <w:sz w:val="18"/>
                <w:szCs w:val="18"/>
                <w:lang w:val="en-GB"/>
              </w:rPr>
              <w:t>,000</w:t>
            </w:r>
          </w:p>
        </w:tc>
      </w:tr>
      <w:tr w:rsidR="003532B2" w:rsidRPr="00E114C0" w:rsidTr="00D900A8">
        <w:trPr>
          <w:trHeight w:val="544"/>
        </w:trPr>
        <w:tc>
          <w:tcPr>
            <w:tcW w:w="1980" w:type="dxa"/>
            <w:shd w:val="clear" w:color="auto" w:fill="B0D0E2" w:themeFill="accent1" w:themeFillTint="66"/>
          </w:tcPr>
          <w:p w:rsidR="003532B2" w:rsidRPr="00E114C0" w:rsidRDefault="003532B2" w:rsidP="00F916CA">
            <w:pPr>
              <w:spacing w:line="276" w:lineRule="auto"/>
              <w:rPr>
                <w:rFonts w:cs="Tahoma"/>
                <w:b/>
                <w:sz w:val="24"/>
                <w:szCs w:val="24"/>
                <w:lang w:val="en-GB"/>
              </w:rPr>
            </w:pPr>
            <w:r w:rsidRPr="00E114C0">
              <w:rPr>
                <w:rFonts w:cs="Tahoma"/>
                <w:b/>
                <w:sz w:val="24"/>
                <w:szCs w:val="24"/>
                <w:lang w:val="en-GB"/>
              </w:rPr>
              <w:t xml:space="preserve">Output </w:t>
            </w:r>
            <w:r>
              <w:rPr>
                <w:rFonts w:cs="Tahoma"/>
                <w:b/>
                <w:sz w:val="24"/>
                <w:szCs w:val="24"/>
                <w:lang w:val="en-GB"/>
              </w:rPr>
              <w:t>3</w:t>
            </w:r>
          </w:p>
        </w:tc>
        <w:tc>
          <w:tcPr>
            <w:tcW w:w="12018" w:type="dxa"/>
            <w:gridSpan w:val="6"/>
            <w:shd w:val="clear" w:color="auto" w:fill="B0D0E2" w:themeFill="accent1" w:themeFillTint="66"/>
          </w:tcPr>
          <w:p w:rsidR="003532B2" w:rsidRPr="00F00BD4" w:rsidRDefault="00F00BD4" w:rsidP="00F00BD4">
            <w:pPr>
              <w:tabs>
                <w:tab w:val="left" w:pos="90"/>
              </w:tabs>
              <w:autoSpaceDE w:val="0"/>
              <w:autoSpaceDN w:val="0"/>
              <w:adjustRightInd w:val="0"/>
              <w:spacing w:line="276" w:lineRule="auto"/>
              <w:jc w:val="both"/>
              <w:rPr>
                <w:rFonts w:cs="Tahoma"/>
                <w:b/>
                <w:lang w:val="en-GB"/>
              </w:rPr>
            </w:pPr>
            <w:r w:rsidRPr="00925776">
              <w:rPr>
                <w:rFonts w:cs="Tahoma"/>
                <w:b/>
                <w:lang w:val="en-GB"/>
              </w:rPr>
              <w:t>Security</w:t>
            </w:r>
            <w:r w:rsidRPr="004E000A">
              <w:rPr>
                <w:rFonts w:cs="Tahoma"/>
                <w:b/>
                <w:lang w:val="en-GB"/>
              </w:rPr>
              <w:t xml:space="preserve"> Sector Governance enhanced in Papua New Guinea through </w:t>
            </w:r>
            <w:r>
              <w:rPr>
                <w:rFonts w:cs="Tahoma"/>
                <w:b/>
                <w:lang w:val="en-GB"/>
              </w:rPr>
              <w:t xml:space="preserve">technical </w:t>
            </w:r>
            <w:r w:rsidRPr="004E000A">
              <w:rPr>
                <w:rFonts w:cs="Tahoma"/>
                <w:b/>
                <w:lang w:val="en-GB"/>
              </w:rPr>
              <w:t xml:space="preserve">support </w:t>
            </w:r>
            <w:r>
              <w:rPr>
                <w:rFonts w:cs="Tahoma"/>
                <w:b/>
                <w:lang w:val="en-GB"/>
              </w:rPr>
              <w:t xml:space="preserve">for </w:t>
            </w:r>
            <w:r w:rsidRPr="004E000A">
              <w:rPr>
                <w:rFonts w:cs="Tahoma"/>
                <w:b/>
                <w:lang w:val="en-GB"/>
              </w:rPr>
              <w:t>the full implementation of the Papua New Guinea 2013 National Security Strategy</w:t>
            </w:r>
          </w:p>
        </w:tc>
      </w:tr>
      <w:tr w:rsidR="00AF5972" w:rsidRPr="00FB41B3" w:rsidTr="0034419D">
        <w:tc>
          <w:tcPr>
            <w:tcW w:w="198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Pr>
                <w:rFonts w:cs="Tahoma"/>
                <w:b/>
                <w:sz w:val="18"/>
                <w:szCs w:val="18"/>
                <w:lang w:val="en-GB"/>
              </w:rPr>
              <w:t>Sub- outputs</w:t>
            </w:r>
          </w:p>
        </w:tc>
        <w:tc>
          <w:tcPr>
            <w:tcW w:w="2410"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Targets</w:t>
            </w:r>
          </w:p>
        </w:tc>
        <w:tc>
          <w:tcPr>
            <w:tcW w:w="2976"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Activity Result</w:t>
            </w:r>
          </w:p>
        </w:tc>
        <w:tc>
          <w:tcPr>
            <w:tcW w:w="2127"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Indicators</w:t>
            </w:r>
          </w:p>
        </w:tc>
        <w:tc>
          <w:tcPr>
            <w:tcW w:w="2409"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sidRPr="00FB41B3">
              <w:rPr>
                <w:rFonts w:cs="Tahoma"/>
                <w:b/>
                <w:sz w:val="18"/>
                <w:szCs w:val="18"/>
                <w:lang w:val="en-GB"/>
              </w:rPr>
              <w:t>Baseline(s)</w:t>
            </w:r>
          </w:p>
        </w:tc>
        <w:tc>
          <w:tcPr>
            <w:tcW w:w="1048" w:type="dxa"/>
            <w:shd w:val="clear" w:color="auto" w:fill="B0D0E2" w:themeFill="accent1" w:themeFillTint="66"/>
          </w:tcPr>
          <w:p w:rsidR="00AF5972" w:rsidRDefault="00AF5972" w:rsidP="00F916CA">
            <w:pPr>
              <w:spacing w:line="276" w:lineRule="auto"/>
              <w:jc w:val="center"/>
              <w:rPr>
                <w:rFonts w:cs="Tahoma"/>
                <w:b/>
                <w:sz w:val="18"/>
                <w:szCs w:val="18"/>
                <w:lang w:val="en-GB"/>
              </w:rPr>
            </w:pPr>
            <w:r>
              <w:rPr>
                <w:rFonts w:cs="Tahoma"/>
                <w:b/>
                <w:sz w:val="18"/>
                <w:szCs w:val="18"/>
                <w:lang w:val="en-GB"/>
              </w:rPr>
              <w:t>Inputs 2016</w:t>
            </w:r>
          </w:p>
        </w:tc>
        <w:tc>
          <w:tcPr>
            <w:tcW w:w="1048" w:type="dxa"/>
            <w:shd w:val="clear" w:color="auto" w:fill="B0D0E2" w:themeFill="accent1" w:themeFillTint="66"/>
          </w:tcPr>
          <w:p w:rsidR="00AF5972" w:rsidRPr="00FB41B3" w:rsidRDefault="00AF5972" w:rsidP="00F916CA">
            <w:pPr>
              <w:spacing w:line="276" w:lineRule="auto"/>
              <w:jc w:val="center"/>
              <w:rPr>
                <w:rFonts w:cs="Tahoma"/>
                <w:b/>
                <w:sz w:val="18"/>
                <w:szCs w:val="18"/>
                <w:lang w:val="en-GB"/>
              </w:rPr>
            </w:pPr>
            <w:r>
              <w:rPr>
                <w:rFonts w:cs="Tahoma"/>
                <w:b/>
                <w:sz w:val="18"/>
                <w:szCs w:val="18"/>
                <w:lang w:val="en-GB"/>
              </w:rPr>
              <w:t>Inputs 2017</w:t>
            </w:r>
          </w:p>
        </w:tc>
      </w:tr>
      <w:tr w:rsidR="00AF5972" w:rsidRPr="00FB41B3" w:rsidTr="0034419D">
        <w:trPr>
          <w:trHeight w:val="1426"/>
        </w:trPr>
        <w:tc>
          <w:tcPr>
            <w:tcW w:w="1980" w:type="dxa"/>
            <w:vMerge w:val="restart"/>
          </w:tcPr>
          <w:p w:rsidR="00AF5972" w:rsidRPr="005C67ED" w:rsidRDefault="00AF5972" w:rsidP="00620679">
            <w:pPr>
              <w:spacing w:line="276" w:lineRule="auto"/>
              <w:rPr>
                <w:rFonts w:cs="Times New Roman"/>
                <w:sz w:val="18"/>
                <w:szCs w:val="18"/>
              </w:rPr>
            </w:pPr>
            <w:r>
              <w:rPr>
                <w:rFonts w:cs="Tahoma"/>
                <w:sz w:val="18"/>
                <w:szCs w:val="18"/>
              </w:rPr>
              <w:t xml:space="preserve">3.1 </w:t>
            </w:r>
            <w:r w:rsidRPr="005C67ED">
              <w:rPr>
                <w:rFonts w:cs="Tahoma"/>
                <w:sz w:val="18"/>
                <w:szCs w:val="18"/>
              </w:rPr>
              <w:t xml:space="preserve">Capacity within Office of Security Coordination and Assessment developed to coordinate and </w:t>
            </w:r>
            <w:r>
              <w:rPr>
                <w:rFonts w:cs="Tahoma"/>
                <w:sz w:val="18"/>
                <w:szCs w:val="18"/>
              </w:rPr>
              <w:t xml:space="preserve">implement </w:t>
            </w:r>
            <w:r w:rsidRPr="005C67ED">
              <w:rPr>
                <w:rFonts w:cs="Tahoma"/>
                <w:sz w:val="18"/>
                <w:szCs w:val="18"/>
              </w:rPr>
              <w:t>a consultative N</w:t>
            </w:r>
            <w:r>
              <w:rPr>
                <w:rFonts w:cs="Tahoma"/>
                <w:sz w:val="18"/>
                <w:szCs w:val="18"/>
              </w:rPr>
              <w:t>ational Security Strategy</w:t>
            </w:r>
          </w:p>
        </w:tc>
        <w:tc>
          <w:tcPr>
            <w:tcW w:w="2410" w:type="dxa"/>
            <w:vMerge w:val="restart"/>
          </w:tcPr>
          <w:p w:rsidR="00AF5972" w:rsidRPr="00E865F6" w:rsidRDefault="00AF5972" w:rsidP="00F916CA">
            <w:pPr>
              <w:spacing w:line="276" w:lineRule="auto"/>
              <w:rPr>
                <w:rFonts w:cs="Times New Roman"/>
                <w:sz w:val="18"/>
                <w:szCs w:val="18"/>
              </w:rPr>
            </w:pPr>
            <w:r w:rsidRPr="00E865F6">
              <w:rPr>
                <w:rFonts w:cs="Tahoma"/>
                <w:sz w:val="18"/>
                <w:szCs w:val="18"/>
              </w:rPr>
              <w:t>OSCA is increasingly empowered with trained personnel to implement the NSP</w:t>
            </w:r>
          </w:p>
        </w:tc>
        <w:tc>
          <w:tcPr>
            <w:tcW w:w="2976" w:type="dxa"/>
          </w:tcPr>
          <w:p w:rsidR="00AF5972" w:rsidRDefault="00AF5972" w:rsidP="00F916CA">
            <w:pPr>
              <w:spacing w:line="276" w:lineRule="auto"/>
              <w:rPr>
                <w:rFonts w:cs="Times New Roman"/>
                <w:sz w:val="18"/>
                <w:szCs w:val="18"/>
              </w:rPr>
            </w:pPr>
            <w:r>
              <w:rPr>
                <w:rFonts w:cs="Times New Roman"/>
                <w:sz w:val="18"/>
                <w:szCs w:val="18"/>
              </w:rPr>
              <w:t>3.1.1 Provision of technical assistance to conduct in house training for the two national consultants hired for:</w:t>
            </w:r>
          </w:p>
          <w:p w:rsidR="00AF5972" w:rsidRDefault="00AF5972" w:rsidP="00F916CA">
            <w:pPr>
              <w:pStyle w:val="ListParagraph"/>
              <w:numPr>
                <w:ilvl w:val="0"/>
                <w:numId w:val="29"/>
              </w:numPr>
              <w:spacing w:line="276" w:lineRule="auto"/>
              <w:rPr>
                <w:rFonts w:cs="Times New Roman"/>
                <w:sz w:val="18"/>
                <w:szCs w:val="18"/>
              </w:rPr>
            </w:pPr>
            <w:r>
              <w:rPr>
                <w:rFonts w:cs="Times New Roman"/>
                <w:sz w:val="18"/>
                <w:szCs w:val="18"/>
              </w:rPr>
              <w:t>A</w:t>
            </w:r>
            <w:r w:rsidRPr="001D0C8D">
              <w:rPr>
                <w:rFonts w:cs="Times New Roman"/>
                <w:sz w:val="18"/>
                <w:szCs w:val="18"/>
              </w:rPr>
              <w:t>lignment</w:t>
            </w:r>
            <w:r w:rsidRPr="005C67ED">
              <w:rPr>
                <w:rFonts w:cs="Times New Roman"/>
                <w:sz w:val="18"/>
                <w:szCs w:val="18"/>
              </w:rPr>
              <w:t xml:space="preserve"> of </w:t>
            </w:r>
            <w:r>
              <w:rPr>
                <w:rFonts w:cs="Times New Roman"/>
                <w:sz w:val="18"/>
                <w:szCs w:val="18"/>
              </w:rPr>
              <w:t>Departmental and Agency Strategic Plans with the NSP</w:t>
            </w:r>
          </w:p>
          <w:p w:rsidR="00AF5972" w:rsidRPr="005C67ED" w:rsidRDefault="00AF5972" w:rsidP="00F916CA">
            <w:pPr>
              <w:pStyle w:val="ListParagraph"/>
              <w:numPr>
                <w:ilvl w:val="0"/>
                <w:numId w:val="29"/>
              </w:numPr>
              <w:spacing w:line="276" w:lineRule="auto"/>
              <w:rPr>
                <w:rFonts w:cs="Times New Roman"/>
                <w:sz w:val="18"/>
                <w:szCs w:val="18"/>
              </w:rPr>
            </w:pPr>
            <w:r>
              <w:rPr>
                <w:rFonts w:cs="Times New Roman"/>
                <w:sz w:val="18"/>
                <w:szCs w:val="18"/>
              </w:rPr>
              <w:t>Rolling out the media strategy for NSP</w:t>
            </w:r>
          </w:p>
        </w:tc>
        <w:tc>
          <w:tcPr>
            <w:tcW w:w="2127" w:type="dxa"/>
          </w:tcPr>
          <w:p w:rsidR="00AF5972" w:rsidRPr="00FB41B3" w:rsidRDefault="00AF5972" w:rsidP="00F916CA">
            <w:pPr>
              <w:spacing w:line="276" w:lineRule="auto"/>
              <w:rPr>
                <w:rFonts w:cs="Tahoma"/>
                <w:sz w:val="18"/>
                <w:szCs w:val="18"/>
              </w:rPr>
            </w:pPr>
            <w:r w:rsidRPr="00FB41B3">
              <w:rPr>
                <w:rFonts w:cs="Tahoma"/>
                <w:sz w:val="18"/>
                <w:szCs w:val="18"/>
              </w:rPr>
              <w:t># participants (M/F)</w:t>
            </w:r>
          </w:p>
          <w:p w:rsidR="00AF5972" w:rsidRPr="00FB41B3" w:rsidRDefault="00AF5972" w:rsidP="00F916CA">
            <w:pPr>
              <w:spacing w:line="276" w:lineRule="auto"/>
              <w:rPr>
                <w:rFonts w:cs="Tahoma"/>
                <w:sz w:val="18"/>
                <w:szCs w:val="18"/>
              </w:rPr>
            </w:pPr>
            <w:r w:rsidRPr="00FB41B3">
              <w:rPr>
                <w:rFonts w:cs="Tahoma"/>
                <w:sz w:val="18"/>
                <w:szCs w:val="18"/>
              </w:rPr>
              <w:t>% persons familiar with the NS</w:t>
            </w:r>
            <w:r>
              <w:rPr>
                <w:rFonts w:cs="Tahoma"/>
                <w:sz w:val="18"/>
                <w:szCs w:val="18"/>
              </w:rPr>
              <w:t>S</w:t>
            </w:r>
            <w:r w:rsidRPr="00FB41B3">
              <w:rPr>
                <w:rFonts w:cs="Tahoma"/>
                <w:sz w:val="18"/>
                <w:szCs w:val="18"/>
              </w:rPr>
              <w:t xml:space="preserve"> process </w:t>
            </w:r>
          </w:p>
          <w:p w:rsidR="00AF5972" w:rsidRDefault="00AF5972" w:rsidP="00F916CA">
            <w:pPr>
              <w:spacing w:line="276" w:lineRule="auto"/>
              <w:rPr>
                <w:rFonts w:cs="Times New Roman"/>
                <w:sz w:val="18"/>
                <w:szCs w:val="18"/>
              </w:rPr>
            </w:pPr>
            <w:r>
              <w:rPr>
                <w:rFonts w:cs="Times New Roman"/>
                <w:sz w:val="18"/>
                <w:szCs w:val="18"/>
              </w:rPr>
              <w:t># of Departments and Agencies strategic plans aligned to the NSS</w:t>
            </w:r>
          </w:p>
          <w:p w:rsidR="00AF5972" w:rsidRPr="00FB41B3" w:rsidRDefault="00AF5972" w:rsidP="00F916CA">
            <w:pPr>
              <w:spacing w:line="276" w:lineRule="auto"/>
              <w:rPr>
                <w:rFonts w:cs="Times New Roman"/>
                <w:sz w:val="18"/>
                <w:szCs w:val="18"/>
              </w:rPr>
            </w:pPr>
            <w:r>
              <w:rPr>
                <w:rFonts w:cs="Times New Roman"/>
                <w:sz w:val="18"/>
                <w:szCs w:val="18"/>
              </w:rPr>
              <w:t># of communities that are aware of the expected impact of the NSP</w:t>
            </w:r>
          </w:p>
        </w:tc>
        <w:tc>
          <w:tcPr>
            <w:tcW w:w="2409" w:type="dxa"/>
          </w:tcPr>
          <w:p w:rsidR="00AF5972" w:rsidRDefault="00AF5972" w:rsidP="00F916CA">
            <w:pPr>
              <w:spacing w:line="276" w:lineRule="auto"/>
              <w:rPr>
                <w:rFonts w:cs="Times New Roman"/>
                <w:sz w:val="18"/>
                <w:szCs w:val="18"/>
              </w:rPr>
            </w:pPr>
            <w:r>
              <w:rPr>
                <w:rFonts w:cs="Times New Roman"/>
                <w:sz w:val="18"/>
                <w:szCs w:val="18"/>
              </w:rPr>
              <w:t>GoPNG Departmental and Agency strategic plans not aligned to NSS</w:t>
            </w:r>
          </w:p>
          <w:p w:rsidR="00AF5972" w:rsidRPr="00FB41B3" w:rsidRDefault="00AF5972" w:rsidP="00F916CA">
            <w:pPr>
              <w:spacing w:line="276" w:lineRule="auto"/>
              <w:rPr>
                <w:rFonts w:cs="Times New Roman"/>
                <w:sz w:val="18"/>
                <w:szCs w:val="18"/>
              </w:rPr>
            </w:pPr>
            <w:r>
              <w:rPr>
                <w:rFonts w:cs="Times New Roman"/>
                <w:sz w:val="18"/>
                <w:szCs w:val="18"/>
              </w:rPr>
              <w:t>Paucity of public information on NSP</w:t>
            </w:r>
          </w:p>
        </w:tc>
        <w:tc>
          <w:tcPr>
            <w:tcW w:w="1048" w:type="dxa"/>
          </w:tcPr>
          <w:p w:rsidR="00AF5972" w:rsidRDefault="00AF5972" w:rsidP="00F916CA">
            <w:pPr>
              <w:spacing w:line="276" w:lineRule="auto"/>
              <w:rPr>
                <w:rFonts w:cs="Tahoma"/>
                <w:sz w:val="18"/>
                <w:szCs w:val="18"/>
                <w:lang w:val="en-GB"/>
              </w:rPr>
            </w:pPr>
          </w:p>
        </w:tc>
        <w:tc>
          <w:tcPr>
            <w:tcW w:w="1048" w:type="dxa"/>
          </w:tcPr>
          <w:p w:rsidR="00AF5972" w:rsidRPr="00FB41B3" w:rsidRDefault="0083085E" w:rsidP="00F916CA">
            <w:pPr>
              <w:spacing w:line="276" w:lineRule="auto"/>
              <w:rPr>
                <w:rFonts w:cs="Tahoma"/>
                <w:sz w:val="18"/>
                <w:szCs w:val="18"/>
                <w:lang w:val="en-GB"/>
              </w:rPr>
            </w:pPr>
            <w:r>
              <w:rPr>
                <w:rFonts w:cs="Tahoma"/>
                <w:sz w:val="18"/>
                <w:szCs w:val="18"/>
                <w:lang w:val="en-GB"/>
              </w:rPr>
              <w:t>10</w:t>
            </w:r>
            <w:r w:rsidR="00FA04ED">
              <w:rPr>
                <w:rFonts w:cs="Tahoma"/>
                <w:sz w:val="18"/>
                <w:szCs w:val="18"/>
                <w:lang w:val="en-GB"/>
              </w:rPr>
              <w:t>,</w:t>
            </w:r>
            <w:r>
              <w:rPr>
                <w:rFonts w:cs="Tahoma"/>
                <w:sz w:val="18"/>
                <w:szCs w:val="18"/>
                <w:lang w:val="en-GB"/>
              </w:rPr>
              <w:t>000</w:t>
            </w:r>
          </w:p>
        </w:tc>
      </w:tr>
      <w:tr w:rsidR="00AF5972" w:rsidRPr="00FB41B3" w:rsidTr="0034419D">
        <w:trPr>
          <w:trHeight w:val="1829"/>
        </w:trPr>
        <w:tc>
          <w:tcPr>
            <w:tcW w:w="1980" w:type="dxa"/>
            <w:vMerge/>
          </w:tcPr>
          <w:p w:rsidR="00AF5972" w:rsidRPr="00FB41B3" w:rsidRDefault="00AF5972" w:rsidP="00F916CA">
            <w:pPr>
              <w:spacing w:line="276" w:lineRule="auto"/>
              <w:rPr>
                <w:rFonts w:cs="Tahoma"/>
                <w:b/>
                <w:sz w:val="18"/>
                <w:szCs w:val="18"/>
                <w:lang w:val="en-GB"/>
              </w:rPr>
            </w:pPr>
          </w:p>
        </w:tc>
        <w:tc>
          <w:tcPr>
            <w:tcW w:w="2410" w:type="dxa"/>
            <w:vMerge/>
          </w:tcPr>
          <w:p w:rsidR="00AF5972" w:rsidRPr="00FB41B3" w:rsidRDefault="00AF5972" w:rsidP="00F916CA">
            <w:pPr>
              <w:spacing w:line="276" w:lineRule="auto"/>
              <w:rPr>
                <w:rFonts w:cs="Tahoma"/>
                <w:b/>
                <w:sz w:val="18"/>
                <w:szCs w:val="18"/>
                <w:lang w:val="en-GB"/>
              </w:rPr>
            </w:pPr>
          </w:p>
        </w:tc>
        <w:tc>
          <w:tcPr>
            <w:tcW w:w="2976" w:type="dxa"/>
          </w:tcPr>
          <w:p w:rsidR="00AF5972" w:rsidRPr="00FB41B3" w:rsidRDefault="00AF5972" w:rsidP="00F916CA">
            <w:pPr>
              <w:spacing w:line="276" w:lineRule="auto"/>
              <w:rPr>
                <w:rFonts w:cs="Tahoma"/>
                <w:sz w:val="18"/>
                <w:szCs w:val="18"/>
                <w:lang w:val="en-GB"/>
              </w:rPr>
            </w:pPr>
            <w:r>
              <w:rPr>
                <w:rFonts w:cs="Times New Roman"/>
                <w:sz w:val="18"/>
                <w:szCs w:val="18"/>
              </w:rPr>
              <w:t>3.1.2 Provision of technical assistance to s</w:t>
            </w:r>
            <w:r w:rsidRPr="00FB41B3">
              <w:rPr>
                <w:rFonts w:cs="Times New Roman"/>
                <w:sz w:val="18"/>
                <w:szCs w:val="18"/>
              </w:rPr>
              <w:t>upport the review of the legislative framework to transform the Office of Security Coordination and Assessment into a National Security Agency (NSA)</w:t>
            </w:r>
          </w:p>
        </w:tc>
        <w:tc>
          <w:tcPr>
            <w:tcW w:w="2127" w:type="dxa"/>
          </w:tcPr>
          <w:p w:rsidR="00AF5972" w:rsidRDefault="00AF5972" w:rsidP="00F916CA">
            <w:pPr>
              <w:spacing w:line="276" w:lineRule="auto"/>
              <w:rPr>
                <w:rFonts w:cs="Tahoma"/>
                <w:sz w:val="18"/>
                <w:szCs w:val="18"/>
              </w:rPr>
            </w:pPr>
            <w:r w:rsidRPr="00FB41B3">
              <w:rPr>
                <w:rFonts w:cs="Tahoma"/>
                <w:sz w:val="18"/>
                <w:szCs w:val="18"/>
              </w:rPr>
              <w:t xml:space="preserve">New </w:t>
            </w:r>
            <w:r>
              <w:rPr>
                <w:rFonts w:cs="Tahoma"/>
                <w:sz w:val="18"/>
                <w:szCs w:val="18"/>
              </w:rPr>
              <w:t xml:space="preserve">NSA </w:t>
            </w:r>
            <w:r w:rsidRPr="00FB41B3">
              <w:rPr>
                <w:rFonts w:cs="Tahoma"/>
                <w:sz w:val="18"/>
                <w:szCs w:val="18"/>
              </w:rPr>
              <w:t>legislation in place</w:t>
            </w:r>
          </w:p>
          <w:p w:rsidR="00AF5972" w:rsidRPr="00FB41B3" w:rsidRDefault="00AF5972" w:rsidP="00F916CA">
            <w:pPr>
              <w:spacing w:line="276" w:lineRule="auto"/>
              <w:rPr>
                <w:rFonts w:cs="Tahoma"/>
                <w:sz w:val="18"/>
                <w:szCs w:val="18"/>
                <w:lang w:val="en-GB"/>
              </w:rPr>
            </w:pPr>
            <w:r>
              <w:rPr>
                <w:rFonts w:cs="Tahoma"/>
                <w:sz w:val="18"/>
                <w:szCs w:val="18"/>
              </w:rPr>
              <w:t>OSCA transformed to NSA</w:t>
            </w:r>
          </w:p>
        </w:tc>
        <w:tc>
          <w:tcPr>
            <w:tcW w:w="2409" w:type="dxa"/>
          </w:tcPr>
          <w:p w:rsidR="00AF5972" w:rsidRPr="00FB41B3" w:rsidRDefault="00AF5972" w:rsidP="00620679">
            <w:pPr>
              <w:spacing w:line="276" w:lineRule="auto"/>
              <w:rPr>
                <w:rFonts w:cs="Tahoma"/>
                <w:b/>
                <w:sz w:val="18"/>
                <w:szCs w:val="18"/>
                <w:lang w:val="en-GB"/>
              </w:rPr>
            </w:pPr>
            <w:r>
              <w:rPr>
                <w:rFonts w:cs="Times New Roman"/>
                <w:sz w:val="18"/>
                <w:szCs w:val="18"/>
              </w:rPr>
              <w:t>No NSA legislation in place. (OSCA is set up by the NSAC through the PM and NEC Act)</w:t>
            </w:r>
          </w:p>
        </w:tc>
        <w:tc>
          <w:tcPr>
            <w:tcW w:w="1048" w:type="dxa"/>
          </w:tcPr>
          <w:p w:rsidR="00AF5972" w:rsidRDefault="00AF5972" w:rsidP="00F916CA">
            <w:pPr>
              <w:spacing w:line="276" w:lineRule="auto"/>
              <w:rPr>
                <w:rFonts w:cs="Times New Roman"/>
                <w:sz w:val="18"/>
                <w:szCs w:val="18"/>
              </w:rPr>
            </w:pPr>
          </w:p>
        </w:tc>
        <w:tc>
          <w:tcPr>
            <w:tcW w:w="1048" w:type="dxa"/>
          </w:tcPr>
          <w:p w:rsidR="00AF5972" w:rsidRPr="00FB41B3" w:rsidRDefault="007A4DE9" w:rsidP="00F916CA">
            <w:pPr>
              <w:spacing w:line="276" w:lineRule="auto"/>
              <w:rPr>
                <w:rFonts w:cs="Tahoma"/>
                <w:sz w:val="18"/>
                <w:szCs w:val="18"/>
                <w:lang w:val="en-GB"/>
              </w:rPr>
            </w:pPr>
            <w:r>
              <w:rPr>
                <w:rFonts w:cs="Times New Roman"/>
                <w:sz w:val="18"/>
                <w:szCs w:val="18"/>
              </w:rPr>
              <w:t>10</w:t>
            </w:r>
            <w:r w:rsidR="0080281A">
              <w:rPr>
                <w:rFonts w:cs="Times New Roman"/>
                <w:sz w:val="18"/>
                <w:szCs w:val="18"/>
              </w:rPr>
              <w:t>,000</w:t>
            </w:r>
          </w:p>
        </w:tc>
      </w:tr>
      <w:tr w:rsidR="00AF5972" w:rsidRPr="00FB41B3" w:rsidTr="0034419D">
        <w:trPr>
          <w:trHeight w:val="1833"/>
        </w:trPr>
        <w:tc>
          <w:tcPr>
            <w:tcW w:w="1980" w:type="dxa"/>
            <w:vMerge/>
          </w:tcPr>
          <w:p w:rsidR="00AF5972" w:rsidRPr="00FB41B3" w:rsidRDefault="00AF5972" w:rsidP="00F916CA">
            <w:pPr>
              <w:spacing w:line="276" w:lineRule="auto"/>
              <w:rPr>
                <w:rFonts w:cs="Tahoma"/>
                <w:b/>
                <w:sz w:val="18"/>
                <w:szCs w:val="18"/>
                <w:lang w:val="en-GB"/>
              </w:rPr>
            </w:pPr>
          </w:p>
        </w:tc>
        <w:tc>
          <w:tcPr>
            <w:tcW w:w="2410" w:type="dxa"/>
            <w:vMerge/>
          </w:tcPr>
          <w:p w:rsidR="00AF5972" w:rsidRPr="00FB41B3" w:rsidRDefault="00AF5972" w:rsidP="00F916CA">
            <w:pPr>
              <w:spacing w:line="276" w:lineRule="auto"/>
              <w:rPr>
                <w:rFonts w:cs="Tahoma"/>
                <w:b/>
                <w:sz w:val="18"/>
                <w:szCs w:val="18"/>
                <w:lang w:val="en-GB"/>
              </w:rPr>
            </w:pPr>
          </w:p>
        </w:tc>
        <w:tc>
          <w:tcPr>
            <w:tcW w:w="2976" w:type="dxa"/>
          </w:tcPr>
          <w:p w:rsidR="00AF5972" w:rsidRPr="00FB41B3" w:rsidRDefault="00AF5972" w:rsidP="00F916CA">
            <w:pPr>
              <w:spacing w:line="276" w:lineRule="auto"/>
              <w:rPr>
                <w:rFonts w:cs="Tahoma"/>
                <w:sz w:val="18"/>
                <w:szCs w:val="18"/>
                <w:lang w:val="en-GB"/>
              </w:rPr>
            </w:pPr>
            <w:r>
              <w:rPr>
                <w:rFonts w:cs="Times New Roman"/>
                <w:sz w:val="18"/>
                <w:szCs w:val="18"/>
              </w:rPr>
              <w:t xml:space="preserve">3.1.3 </w:t>
            </w:r>
            <w:r w:rsidRPr="00FB41B3">
              <w:rPr>
                <w:rFonts w:cs="Times New Roman"/>
                <w:sz w:val="18"/>
                <w:szCs w:val="18"/>
              </w:rPr>
              <w:t xml:space="preserve">Provide </w:t>
            </w:r>
            <w:r>
              <w:rPr>
                <w:rFonts w:cs="Times New Roman"/>
                <w:sz w:val="18"/>
                <w:szCs w:val="18"/>
              </w:rPr>
              <w:t>technical expertise for setting up the NSA once GoPNG approve structure</w:t>
            </w:r>
          </w:p>
        </w:tc>
        <w:tc>
          <w:tcPr>
            <w:tcW w:w="2127" w:type="dxa"/>
          </w:tcPr>
          <w:p w:rsidR="00AF5972" w:rsidRPr="00FB41B3" w:rsidRDefault="00AF5972" w:rsidP="000A1714">
            <w:pPr>
              <w:spacing w:line="276" w:lineRule="auto"/>
              <w:rPr>
                <w:rFonts w:cs="Tahoma"/>
                <w:sz w:val="18"/>
                <w:szCs w:val="18"/>
                <w:lang w:val="en-GB"/>
              </w:rPr>
            </w:pPr>
            <w:r w:rsidRPr="00FB41B3">
              <w:rPr>
                <w:rFonts w:cs="Tahoma"/>
                <w:sz w:val="18"/>
                <w:szCs w:val="18"/>
              </w:rPr>
              <w:t xml:space="preserve"># </w:t>
            </w:r>
            <w:r>
              <w:rPr>
                <w:rFonts w:cs="Tahoma"/>
                <w:sz w:val="18"/>
                <w:szCs w:val="18"/>
              </w:rPr>
              <w:t>of personnel trained in national security coordination and showing mark improvement in skills set</w:t>
            </w:r>
            <w:r w:rsidRPr="00FB41B3">
              <w:rPr>
                <w:rFonts w:cs="Tahoma"/>
                <w:sz w:val="18"/>
                <w:szCs w:val="18"/>
              </w:rPr>
              <w:t xml:space="preserve"> </w:t>
            </w:r>
            <w:r w:rsidRPr="00FB41B3">
              <w:rPr>
                <w:rFonts w:cs="Tahoma"/>
                <w:sz w:val="18"/>
                <w:szCs w:val="18"/>
              </w:rPr>
              <w:br/>
              <w:t xml:space="preserve"># </w:t>
            </w:r>
            <w:r>
              <w:rPr>
                <w:rFonts w:cs="Tahoma"/>
                <w:sz w:val="18"/>
                <w:szCs w:val="18"/>
              </w:rPr>
              <w:t>of national security briefings to the PM’s Office from the NSA</w:t>
            </w:r>
          </w:p>
        </w:tc>
        <w:tc>
          <w:tcPr>
            <w:tcW w:w="2409" w:type="dxa"/>
          </w:tcPr>
          <w:p w:rsidR="00AF5972" w:rsidRPr="005C67ED" w:rsidRDefault="00AF5972" w:rsidP="00F916CA">
            <w:pPr>
              <w:spacing w:line="276" w:lineRule="auto"/>
              <w:rPr>
                <w:rFonts w:cs="Times New Roman"/>
                <w:sz w:val="18"/>
                <w:szCs w:val="18"/>
              </w:rPr>
            </w:pPr>
            <w:r>
              <w:rPr>
                <w:rFonts w:cs="Times New Roman"/>
                <w:sz w:val="18"/>
                <w:szCs w:val="18"/>
              </w:rPr>
              <w:t>The National security briefing regime for the PM’s office is weak</w:t>
            </w:r>
          </w:p>
        </w:tc>
        <w:tc>
          <w:tcPr>
            <w:tcW w:w="1048" w:type="dxa"/>
          </w:tcPr>
          <w:p w:rsidR="00AF5972" w:rsidRDefault="00AF5972" w:rsidP="0080281A">
            <w:pPr>
              <w:spacing w:line="276" w:lineRule="auto"/>
              <w:rPr>
                <w:rFonts w:cs="Times New Roman"/>
                <w:sz w:val="18"/>
                <w:szCs w:val="18"/>
              </w:rPr>
            </w:pPr>
          </w:p>
        </w:tc>
        <w:tc>
          <w:tcPr>
            <w:tcW w:w="1048" w:type="dxa"/>
          </w:tcPr>
          <w:p w:rsidR="00AF5972" w:rsidRPr="00FB41B3" w:rsidRDefault="007A4DE9" w:rsidP="00F916CA">
            <w:pPr>
              <w:spacing w:line="276" w:lineRule="auto"/>
              <w:rPr>
                <w:rFonts w:cs="Tahoma"/>
                <w:sz w:val="18"/>
                <w:szCs w:val="18"/>
                <w:lang w:val="en-GB"/>
              </w:rPr>
            </w:pPr>
            <w:r>
              <w:rPr>
                <w:rFonts w:cs="Times New Roman"/>
                <w:sz w:val="18"/>
                <w:szCs w:val="18"/>
              </w:rPr>
              <w:t>10</w:t>
            </w:r>
            <w:r w:rsidR="0080281A">
              <w:rPr>
                <w:rFonts w:cs="Times New Roman"/>
                <w:sz w:val="18"/>
                <w:szCs w:val="18"/>
              </w:rPr>
              <w:t>,000</w:t>
            </w:r>
          </w:p>
        </w:tc>
      </w:tr>
      <w:tr w:rsidR="00AF5972" w:rsidRPr="00FB41B3" w:rsidTr="00B467EE">
        <w:trPr>
          <w:trHeight w:val="350"/>
        </w:trPr>
        <w:tc>
          <w:tcPr>
            <w:tcW w:w="1980" w:type="dxa"/>
          </w:tcPr>
          <w:p w:rsidR="00AF5972" w:rsidRPr="00FB41B3" w:rsidRDefault="00AF5972" w:rsidP="00F916CA">
            <w:pPr>
              <w:spacing w:line="276" w:lineRule="auto"/>
              <w:rPr>
                <w:rFonts w:cs="Tahoma"/>
                <w:b/>
                <w:sz w:val="18"/>
                <w:szCs w:val="18"/>
                <w:lang w:val="en-GB"/>
              </w:rPr>
            </w:pPr>
            <w:r>
              <w:rPr>
                <w:rFonts w:cs="Tahoma"/>
                <w:sz w:val="18"/>
                <w:szCs w:val="18"/>
                <w:lang w:val="en-GB"/>
              </w:rPr>
              <w:t xml:space="preserve">3.2 Members of local government are better informed on the </w:t>
            </w:r>
            <w:r w:rsidRPr="00E865F6">
              <w:rPr>
                <w:rFonts w:cs="Tahoma"/>
                <w:sz w:val="18"/>
                <w:szCs w:val="18"/>
                <w:lang w:val="en-GB"/>
              </w:rPr>
              <w:t xml:space="preserve">NSP </w:t>
            </w:r>
            <w:r>
              <w:rPr>
                <w:rFonts w:cs="Tahoma"/>
                <w:sz w:val="18"/>
                <w:szCs w:val="18"/>
                <w:lang w:val="en-GB"/>
              </w:rPr>
              <w:t>to garner public</w:t>
            </w:r>
            <w:r w:rsidRPr="00E865F6">
              <w:rPr>
                <w:rFonts w:cs="Tahoma"/>
                <w:sz w:val="18"/>
                <w:szCs w:val="18"/>
                <w:lang w:val="en-GB"/>
              </w:rPr>
              <w:t xml:space="preserve"> support </w:t>
            </w:r>
            <w:r>
              <w:rPr>
                <w:rFonts w:cs="Tahoma"/>
                <w:sz w:val="18"/>
                <w:szCs w:val="18"/>
                <w:lang w:val="en-GB"/>
              </w:rPr>
              <w:t xml:space="preserve">for its </w:t>
            </w:r>
            <w:r w:rsidRPr="00E865F6">
              <w:rPr>
                <w:rFonts w:cs="Tahoma"/>
                <w:sz w:val="18"/>
                <w:szCs w:val="18"/>
                <w:lang w:val="en-GB"/>
              </w:rPr>
              <w:t xml:space="preserve"> implementation to create the safe and enabling environment for sustainable development</w:t>
            </w:r>
          </w:p>
        </w:tc>
        <w:tc>
          <w:tcPr>
            <w:tcW w:w="2410" w:type="dxa"/>
          </w:tcPr>
          <w:p w:rsidR="00AF5972" w:rsidRPr="00E865F6" w:rsidRDefault="00AF5972" w:rsidP="00F916CA">
            <w:pPr>
              <w:spacing w:line="276" w:lineRule="auto"/>
              <w:rPr>
                <w:rFonts w:cs="Tahoma"/>
                <w:sz w:val="18"/>
                <w:szCs w:val="18"/>
                <w:lang w:val="en-GB"/>
              </w:rPr>
            </w:pPr>
            <w:r>
              <w:rPr>
                <w:rFonts w:cs="Tahoma"/>
                <w:sz w:val="18"/>
                <w:szCs w:val="18"/>
                <w:lang w:val="en-GB"/>
              </w:rPr>
              <w:t>70% (M/F) of Papua New Guineans know about and support GoPNG implementation  of the NSP to improve public safety and security</w:t>
            </w:r>
          </w:p>
        </w:tc>
        <w:tc>
          <w:tcPr>
            <w:tcW w:w="2976" w:type="dxa"/>
          </w:tcPr>
          <w:p w:rsidR="00AF5972" w:rsidRDefault="00AF5972" w:rsidP="00F916CA">
            <w:pPr>
              <w:spacing w:line="276" w:lineRule="auto"/>
              <w:rPr>
                <w:rFonts w:cs="Times New Roman"/>
                <w:sz w:val="18"/>
                <w:szCs w:val="18"/>
              </w:rPr>
            </w:pPr>
            <w:r>
              <w:rPr>
                <w:rFonts w:cs="Times New Roman"/>
                <w:sz w:val="18"/>
                <w:szCs w:val="18"/>
              </w:rPr>
              <w:t>3.2.1 Provision of technical expertise to  c</w:t>
            </w:r>
            <w:r w:rsidRPr="00FB41B3">
              <w:rPr>
                <w:rFonts w:cs="Times New Roman"/>
                <w:sz w:val="18"/>
                <w:szCs w:val="18"/>
              </w:rPr>
              <w:t>onduct 4(four) PNG local level government regional workshops to raise awareness on the PNG National Security Policy</w:t>
            </w:r>
            <w:r>
              <w:rPr>
                <w:rFonts w:cs="Times New Roman"/>
                <w:sz w:val="18"/>
                <w:szCs w:val="18"/>
              </w:rPr>
              <w:t xml:space="preserve"> and garner public support for its implementation</w:t>
            </w:r>
          </w:p>
        </w:tc>
        <w:tc>
          <w:tcPr>
            <w:tcW w:w="2127" w:type="dxa"/>
          </w:tcPr>
          <w:p w:rsidR="00AF5972" w:rsidRPr="00FB41B3" w:rsidRDefault="00AF5972" w:rsidP="00F916CA">
            <w:pPr>
              <w:spacing w:line="276" w:lineRule="auto"/>
              <w:rPr>
                <w:rFonts w:cs="Tahoma"/>
                <w:sz w:val="18"/>
                <w:szCs w:val="18"/>
              </w:rPr>
            </w:pPr>
            <w:r w:rsidRPr="00FB41B3">
              <w:rPr>
                <w:rFonts w:cs="Tahoma"/>
                <w:sz w:val="18"/>
                <w:szCs w:val="18"/>
              </w:rPr>
              <w:t># participants (M/F)</w:t>
            </w:r>
          </w:p>
          <w:p w:rsidR="00AF5972" w:rsidRDefault="00AF5972" w:rsidP="00F916CA">
            <w:pPr>
              <w:spacing w:line="276" w:lineRule="auto"/>
              <w:rPr>
                <w:rFonts w:cs="Tahoma"/>
                <w:sz w:val="18"/>
                <w:szCs w:val="18"/>
              </w:rPr>
            </w:pPr>
            <w:r w:rsidRPr="00FB41B3">
              <w:rPr>
                <w:rFonts w:cs="Tahoma"/>
                <w:sz w:val="18"/>
                <w:szCs w:val="18"/>
              </w:rPr>
              <w:t>% persons familiar with the NSP process</w:t>
            </w:r>
          </w:p>
          <w:p w:rsidR="00AF5972" w:rsidRPr="00FB41B3" w:rsidRDefault="00AF5972" w:rsidP="00F916CA">
            <w:pPr>
              <w:spacing w:line="276" w:lineRule="auto"/>
              <w:rPr>
                <w:rFonts w:cs="Tahoma"/>
                <w:sz w:val="18"/>
                <w:szCs w:val="18"/>
              </w:rPr>
            </w:pPr>
            <w:r>
              <w:rPr>
                <w:rFonts w:cs="Tahoma"/>
                <w:sz w:val="18"/>
                <w:szCs w:val="18"/>
              </w:rPr>
              <w:t># of activities in the strategic action plan implemented by the GoPNG departments and agencies</w:t>
            </w:r>
          </w:p>
          <w:p w:rsidR="00AF5972" w:rsidRPr="00FB41B3" w:rsidRDefault="00AF5972" w:rsidP="00F916CA">
            <w:pPr>
              <w:pStyle w:val="Title"/>
              <w:spacing w:line="276" w:lineRule="auto"/>
              <w:rPr>
                <w:lang w:val="en-GB"/>
              </w:rPr>
            </w:pPr>
          </w:p>
        </w:tc>
        <w:tc>
          <w:tcPr>
            <w:tcW w:w="2409" w:type="dxa"/>
          </w:tcPr>
          <w:p w:rsidR="00AF5972" w:rsidRDefault="00AF5972" w:rsidP="00F916CA">
            <w:pPr>
              <w:spacing w:line="276" w:lineRule="auto"/>
              <w:rPr>
                <w:rFonts w:cs="Times New Roman"/>
                <w:sz w:val="18"/>
                <w:szCs w:val="18"/>
              </w:rPr>
            </w:pPr>
            <w:r>
              <w:rPr>
                <w:rFonts w:cs="Times New Roman"/>
                <w:sz w:val="18"/>
                <w:szCs w:val="18"/>
              </w:rPr>
              <w:t>Level of public awareness of the PNG NSP is low</w:t>
            </w:r>
          </w:p>
        </w:tc>
        <w:tc>
          <w:tcPr>
            <w:tcW w:w="1048" w:type="dxa"/>
          </w:tcPr>
          <w:p w:rsidR="00AF5972" w:rsidRDefault="0083085E" w:rsidP="00F916CA">
            <w:pPr>
              <w:spacing w:line="276" w:lineRule="auto"/>
              <w:rPr>
                <w:rFonts w:cs="Times New Roman"/>
                <w:sz w:val="18"/>
                <w:szCs w:val="18"/>
              </w:rPr>
            </w:pPr>
            <w:r>
              <w:rPr>
                <w:rFonts w:cs="Times New Roman"/>
                <w:sz w:val="18"/>
                <w:szCs w:val="18"/>
              </w:rPr>
              <w:t xml:space="preserve"> </w:t>
            </w:r>
          </w:p>
        </w:tc>
        <w:tc>
          <w:tcPr>
            <w:tcW w:w="1048" w:type="dxa"/>
          </w:tcPr>
          <w:p w:rsidR="00AF5972" w:rsidRDefault="007A4DE9" w:rsidP="00F916CA">
            <w:pPr>
              <w:spacing w:line="276" w:lineRule="auto"/>
              <w:rPr>
                <w:rFonts w:cs="Times New Roman"/>
                <w:sz w:val="18"/>
                <w:szCs w:val="18"/>
              </w:rPr>
            </w:pPr>
            <w:r>
              <w:rPr>
                <w:rFonts w:cs="Times New Roman"/>
                <w:sz w:val="18"/>
                <w:szCs w:val="18"/>
              </w:rPr>
              <w:t>20,</w:t>
            </w:r>
            <w:r w:rsidR="00AF5972">
              <w:rPr>
                <w:rFonts w:cs="Times New Roman"/>
                <w:sz w:val="18"/>
                <w:szCs w:val="18"/>
              </w:rPr>
              <w:t>000</w:t>
            </w:r>
          </w:p>
        </w:tc>
      </w:tr>
      <w:tr w:rsidR="00AF5972" w:rsidRPr="00FB41B3" w:rsidTr="0034419D">
        <w:trPr>
          <w:trHeight w:val="458"/>
        </w:trPr>
        <w:tc>
          <w:tcPr>
            <w:tcW w:w="1980" w:type="dxa"/>
            <w:shd w:val="clear" w:color="auto" w:fill="D9D9D9" w:themeFill="background1" w:themeFillShade="D9"/>
          </w:tcPr>
          <w:p w:rsidR="00AF5972" w:rsidRDefault="00AF5972" w:rsidP="00F916CA">
            <w:pPr>
              <w:spacing w:line="276" w:lineRule="auto"/>
              <w:rPr>
                <w:rFonts w:cs="Tahoma"/>
                <w:b/>
                <w:sz w:val="18"/>
                <w:szCs w:val="18"/>
                <w:lang w:val="en-GB"/>
              </w:rPr>
            </w:pPr>
            <w:r>
              <w:rPr>
                <w:rFonts w:cs="Tahoma"/>
                <w:b/>
                <w:sz w:val="18"/>
                <w:szCs w:val="18"/>
                <w:lang w:val="en-GB"/>
              </w:rPr>
              <w:t>Output 3 sub-total</w:t>
            </w:r>
          </w:p>
        </w:tc>
        <w:tc>
          <w:tcPr>
            <w:tcW w:w="9922" w:type="dxa"/>
            <w:gridSpan w:val="4"/>
            <w:shd w:val="clear" w:color="auto" w:fill="D9D9D9" w:themeFill="background1" w:themeFillShade="D9"/>
          </w:tcPr>
          <w:p w:rsidR="00AF5972" w:rsidRDefault="00AF5972" w:rsidP="00F916CA">
            <w:pPr>
              <w:spacing w:line="276" w:lineRule="auto"/>
              <w:rPr>
                <w:rFonts w:cs="Times New Roman"/>
                <w:sz w:val="18"/>
                <w:szCs w:val="18"/>
              </w:rPr>
            </w:pPr>
          </w:p>
        </w:tc>
        <w:tc>
          <w:tcPr>
            <w:tcW w:w="1048" w:type="dxa"/>
            <w:shd w:val="clear" w:color="auto" w:fill="D9D9D9" w:themeFill="background1" w:themeFillShade="D9"/>
          </w:tcPr>
          <w:p w:rsidR="00AF5972" w:rsidDel="00B5714F" w:rsidRDefault="007A4DE9" w:rsidP="00F916CA">
            <w:pPr>
              <w:spacing w:line="276" w:lineRule="auto"/>
              <w:rPr>
                <w:rFonts w:cs="Times New Roman"/>
                <w:sz w:val="18"/>
                <w:szCs w:val="18"/>
              </w:rPr>
            </w:pPr>
            <w:r>
              <w:rPr>
                <w:rFonts w:cs="Times New Roman"/>
                <w:sz w:val="18"/>
                <w:szCs w:val="18"/>
              </w:rPr>
              <w:t>0</w:t>
            </w:r>
          </w:p>
        </w:tc>
        <w:tc>
          <w:tcPr>
            <w:tcW w:w="1048" w:type="dxa"/>
            <w:shd w:val="clear" w:color="auto" w:fill="D9D9D9" w:themeFill="background1" w:themeFillShade="D9"/>
          </w:tcPr>
          <w:p w:rsidR="00AF5972" w:rsidRDefault="007B5D84" w:rsidP="007B5D84">
            <w:pPr>
              <w:spacing w:line="276" w:lineRule="auto"/>
              <w:rPr>
                <w:rFonts w:cs="Times New Roman"/>
                <w:sz w:val="18"/>
                <w:szCs w:val="18"/>
              </w:rPr>
            </w:pPr>
            <w:r>
              <w:rPr>
                <w:rFonts w:cs="Times New Roman"/>
                <w:sz w:val="18"/>
                <w:szCs w:val="18"/>
              </w:rPr>
              <w:t>50</w:t>
            </w:r>
            <w:r w:rsidR="00AF5972">
              <w:rPr>
                <w:rFonts w:cs="Times New Roman"/>
                <w:sz w:val="18"/>
                <w:szCs w:val="18"/>
              </w:rPr>
              <w:t>,000</w:t>
            </w:r>
          </w:p>
        </w:tc>
      </w:tr>
      <w:tr w:rsidR="00AF5972" w:rsidRPr="00FB41B3" w:rsidTr="003532B2">
        <w:trPr>
          <w:trHeight w:val="467"/>
        </w:trPr>
        <w:tc>
          <w:tcPr>
            <w:tcW w:w="1980" w:type="dxa"/>
            <w:shd w:val="clear" w:color="auto" w:fill="FFFF00"/>
          </w:tcPr>
          <w:p w:rsidR="00AF5972" w:rsidRDefault="00AF5972" w:rsidP="00F916CA">
            <w:pPr>
              <w:spacing w:line="276" w:lineRule="auto"/>
              <w:rPr>
                <w:rFonts w:cs="Tahoma"/>
                <w:b/>
                <w:sz w:val="18"/>
                <w:szCs w:val="18"/>
                <w:lang w:val="en-GB"/>
              </w:rPr>
            </w:pPr>
            <w:r>
              <w:rPr>
                <w:rFonts w:cs="Tahoma"/>
                <w:b/>
                <w:sz w:val="18"/>
                <w:szCs w:val="18"/>
                <w:lang w:val="en-GB"/>
              </w:rPr>
              <w:t>Outputs 1, 2 and 3  Activities Total</w:t>
            </w:r>
          </w:p>
        </w:tc>
        <w:tc>
          <w:tcPr>
            <w:tcW w:w="9922" w:type="dxa"/>
            <w:gridSpan w:val="4"/>
            <w:shd w:val="clear" w:color="auto" w:fill="FFFF00"/>
          </w:tcPr>
          <w:p w:rsidR="00AF5972" w:rsidRDefault="00AF5972" w:rsidP="00F916CA">
            <w:pPr>
              <w:spacing w:line="276" w:lineRule="auto"/>
              <w:rPr>
                <w:rFonts w:cs="Times New Roman"/>
                <w:sz w:val="18"/>
                <w:szCs w:val="18"/>
              </w:rPr>
            </w:pPr>
          </w:p>
        </w:tc>
        <w:tc>
          <w:tcPr>
            <w:tcW w:w="1048" w:type="dxa"/>
            <w:shd w:val="clear" w:color="auto" w:fill="FFFF00"/>
          </w:tcPr>
          <w:p w:rsidR="00AF5972" w:rsidRDefault="007A4DE9" w:rsidP="00F916CA">
            <w:pPr>
              <w:spacing w:line="276" w:lineRule="auto"/>
              <w:rPr>
                <w:rFonts w:cs="Times New Roman"/>
                <w:sz w:val="18"/>
                <w:szCs w:val="18"/>
              </w:rPr>
            </w:pPr>
            <w:r>
              <w:rPr>
                <w:rFonts w:cs="Times New Roman"/>
                <w:sz w:val="18"/>
                <w:szCs w:val="18"/>
              </w:rPr>
              <w:t>15</w:t>
            </w:r>
            <w:r w:rsidR="0080281A">
              <w:rPr>
                <w:rFonts w:cs="Times New Roman"/>
                <w:sz w:val="18"/>
                <w:szCs w:val="18"/>
              </w:rPr>
              <w:t>1,210</w:t>
            </w:r>
          </w:p>
        </w:tc>
        <w:tc>
          <w:tcPr>
            <w:tcW w:w="1048" w:type="dxa"/>
            <w:shd w:val="clear" w:color="auto" w:fill="FFFF00"/>
          </w:tcPr>
          <w:p w:rsidR="00AF5972" w:rsidRDefault="007A4DE9" w:rsidP="0080281A">
            <w:pPr>
              <w:spacing w:line="276" w:lineRule="auto"/>
              <w:rPr>
                <w:rFonts w:cs="Times New Roman"/>
                <w:sz w:val="18"/>
                <w:szCs w:val="18"/>
              </w:rPr>
            </w:pPr>
            <w:r>
              <w:rPr>
                <w:rFonts w:cs="Times New Roman"/>
                <w:sz w:val="18"/>
                <w:szCs w:val="18"/>
              </w:rPr>
              <w:t>13</w:t>
            </w:r>
            <w:r w:rsidR="006E382F">
              <w:rPr>
                <w:rFonts w:cs="Times New Roman"/>
                <w:sz w:val="18"/>
                <w:szCs w:val="18"/>
              </w:rPr>
              <w:t>2,802</w:t>
            </w:r>
          </w:p>
        </w:tc>
      </w:tr>
    </w:tbl>
    <w:p w:rsidR="00B2529D" w:rsidRDefault="00B2529D" w:rsidP="00F916CA">
      <w:pPr>
        <w:tabs>
          <w:tab w:val="left" w:pos="7159"/>
        </w:tabs>
        <w:spacing w:line="276" w:lineRule="auto"/>
        <w:jc w:val="both"/>
        <w:rPr>
          <w:rFonts w:cs="Times New Roman"/>
          <w:sz w:val="24"/>
          <w:szCs w:val="24"/>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3064"/>
        <w:gridCol w:w="236"/>
        <w:gridCol w:w="2104"/>
        <w:gridCol w:w="1080"/>
      </w:tblGrid>
      <w:tr w:rsidR="00BB4C26" w:rsidRPr="00FA7385" w:rsidTr="003532B2">
        <w:trPr>
          <w:trHeight w:val="272"/>
        </w:trPr>
        <w:tc>
          <w:tcPr>
            <w:tcW w:w="6471" w:type="dxa"/>
            <w:shd w:val="clear" w:color="auto" w:fill="B0D0E2" w:themeFill="accent1" w:themeFillTint="66"/>
          </w:tcPr>
          <w:p w:rsidR="00BB4C26" w:rsidRPr="003532B2" w:rsidRDefault="00417CE3" w:rsidP="00F916CA">
            <w:pPr>
              <w:spacing w:after="0" w:line="276" w:lineRule="auto"/>
              <w:rPr>
                <w:b/>
              </w:rPr>
            </w:pPr>
            <w:r w:rsidRPr="003532B2">
              <w:rPr>
                <w:b/>
              </w:rPr>
              <w:t>Output 4: Effective Project Management</w:t>
            </w:r>
          </w:p>
          <w:p w:rsidR="003532B2" w:rsidRPr="003532B2" w:rsidRDefault="003532B2" w:rsidP="00F916CA">
            <w:pPr>
              <w:spacing w:after="0" w:line="276" w:lineRule="auto"/>
              <w:rPr>
                <w:b/>
              </w:rPr>
            </w:pPr>
          </w:p>
        </w:tc>
        <w:tc>
          <w:tcPr>
            <w:tcW w:w="3064" w:type="dxa"/>
            <w:shd w:val="clear" w:color="auto" w:fill="B0D0E2" w:themeFill="accent1" w:themeFillTint="66"/>
          </w:tcPr>
          <w:p w:rsidR="00BB4C26" w:rsidRPr="003532B2" w:rsidRDefault="00BB4C26" w:rsidP="003532B2">
            <w:pPr>
              <w:spacing w:after="0" w:line="276" w:lineRule="auto"/>
              <w:jc w:val="center"/>
              <w:rPr>
                <w:b/>
              </w:rPr>
            </w:pPr>
            <w:r w:rsidRPr="003532B2">
              <w:rPr>
                <w:b/>
              </w:rPr>
              <w:t>Year 1</w:t>
            </w:r>
            <w:r w:rsidR="0080281A" w:rsidRPr="003532B2">
              <w:rPr>
                <w:b/>
              </w:rPr>
              <w:t xml:space="preserve"> 2016</w:t>
            </w:r>
            <w:r w:rsidR="003C3260" w:rsidRPr="003532B2">
              <w:rPr>
                <w:b/>
              </w:rPr>
              <w:t xml:space="preserve"> (</w:t>
            </w:r>
            <w:r w:rsidR="005779A3" w:rsidRPr="003532B2">
              <w:rPr>
                <w:b/>
              </w:rPr>
              <w:t>12</w:t>
            </w:r>
            <w:r w:rsidR="003C3260" w:rsidRPr="003532B2">
              <w:rPr>
                <w:b/>
              </w:rPr>
              <w:t xml:space="preserve"> months)</w:t>
            </w:r>
          </w:p>
        </w:tc>
        <w:tc>
          <w:tcPr>
            <w:tcW w:w="2340" w:type="dxa"/>
            <w:gridSpan w:val="2"/>
            <w:shd w:val="clear" w:color="auto" w:fill="B0D0E2" w:themeFill="accent1" w:themeFillTint="66"/>
          </w:tcPr>
          <w:p w:rsidR="00BB4C26" w:rsidRPr="003532B2" w:rsidRDefault="00BB4C26" w:rsidP="003532B2">
            <w:pPr>
              <w:spacing w:after="0" w:line="276" w:lineRule="auto"/>
              <w:jc w:val="center"/>
              <w:rPr>
                <w:b/>
              </w:rPr>
            </w:pPr>
            <w:r w:rsidRPr="003532B2">
              <w:rPr>
                <w:b/>
              </w:rPr>
              <w:t>Year 2</w:t>
            </w:r>
            <w:r w:rsidR="003C3260" w:rsidRPr="003532B2">
              <w:rPr>
                <w:b/>
              </w:rPr>
              <w:t xml:space="preserve"> </w:t>
            </w:r>
            <w:r w:rsidR="0080281A" w:rsidRPr="003532B2">
              <w:rPr>
                <w:b/>
              </w:rPr>
              <w:t xml:space="preserve">2017 </w:t>
            </w:r>
            <w:r w:rsidR="003C3260" w:rsidRPr="003532B2">
              <w:rPr>
                <w:b/>
              </w:rPr>
              <w:t>(</w:t>
            </w:r>
            <w:r w:rsidR="005779A3" w:rsidRPr="003532B2">
              <w:rPr>
                <w:b/>
              </w:rPr>
              <w:t>3</w:t>
            </w:r>
            <w:r w:rsidR="003C3260" w:rsidRPr="003532B2">
              <w:rPr>
                <w:b/>
              </w:rPr>
              <w:t xml:space="preserve"> months)</w:t>
            </w:r>
          </w:p>
        </w:tc>
        <w:tc>
          <w:tcPr>
            <w:tcW w:w="1080" w:type="dxa"/>
            <w:shd w:val="clear" w:color="auto" w:fill="B0D0E2" w:themeFill="accent1" w:themeFillTint="66"/>
          </w:tcPr>
          <w:p w:rsidR="00BB4C26" w:rsidRPr="003532B2" w:rsidRDefault="00BB4C26" w:rsidP="003532B2">
            <w:pPr>
              <w:spacing w:after="0" w:line="276" w:lineRule="auto"/>
              <w:jc w:val="center"/>
              <w:rPr>
                <w:b/>
              </w:rPr>
            </w:pPr>
            <w:r w:rsidRPr="003532B2">
              <w:rPr>
                <w:b/>
              </w:rPr>
              <w:t>Total</w:t>
            </w:r>
          </w:p>
        </w:tc>
      </w:tr>
      <w:tr w:rsidR="00BB4C26" w:rsidRPr="00FA7385" w:rsidTr="004E000A">
        <w:trPr>
          <w:trHeight w:val="879"/>
        </w:trPr>
        <w:tc>
          <w:tcPr>
            <w:tcW w:w="6471" w:type="dxa"/>
            <w:shd w:val="clear" w:color="auto" w:fill="auto"/>
          </w:tcPr>
          <w:p w:rsidR="00B9501D" w:rsidRDefault="00822073" w:rsidP="00F916CA">
            <w:pPr>
              <w:spacing w:after="0" w:line="276" w:lineRule="auto"/>
              <w:rPr>
                <w:sz w:val="20"/>
                <w:szCs w:val="20"/>
              </w:rPr>
            </w:pPr>
            <w:r>
              <w:rPr>
                <w:sz w:val="20"/>
                <w:szCs w:val="20"/>
              </w:rPr>
              <w:t>Pro</w:t>
            </w:r>
            <w:r w:rsidR="00B9501D">
              <w:rPr>
                <w:sz w:val="20"/>
                <w:szCs w:val="20"/>
              </w:rPr>
              <w:t>ject</w:t>
            </w:r>
            <w:r>
              <w:rPr>
                <w:sz w:val="20"/>
                <w:szCs w:val="20"/>
              </w:rPr>
              <w:t xml:space="preserve"> management </w:t>
            </w:r>
          </w:p>
          <w:p w:rsidR="00BB4C26" w:rsidRDefault="00B9501D" w:rsidP="004E000A">
            <w:pPr>
              <w:pStyle w:val="ListParagraph"/>
              <w:numPr>
                <w:ilvl w:val="0"/>
                <w:numId w:val="43"/>
              </w:numPr>
              <w:spacing w:after="0" w:line="276" w:lineRule="auto"/>
              <w:rPr>
                <w:sz w:val="20"/>
                <w:szCs w:val="20"/>
              </w:rPr>
            </w:pPr>
            <w:r>
              <w:rPr>
                <w:sz w:val="20"/>
                <w:szCs w:val="20"/>
              </w:rPr>
              <w:t>P</w:t>
            </w:r>
            <w:r w:rsidR="005779A3">
              <w:rPr>
                <w:sz w:val="20"/>
                <w:szCs w:val="20"/>
              </w:rPr>
              <w:t>eace and Development Assistant G5</w:t>
            </w:r>
            <w:r>
              <w:rPr>
                <w:sz w:val="20"/>
                <w:szCs w:val="20"/>
              </w:rPr>
              <w:t xml:space="preserve"> </w:t>
            </w:r>
            <w:r w:rsidR="00C42685">
              <w:rPr>
                <w:sz w:val="20"/>
                <w:szCs w:val="20"/>
              </w:rPr>
              <w:t>(4</w:t>
            </w:r>
            <w:r>
              <w:rPr>
                <w:sz w:val="20"/>
                <w:szCs w:val="20"/>
              </w:rPr>
              <w:t>0</w:t>
            </w:r>
            <w:r w:rsidRPr="00B9501D">
              <w:rPr>
                <w:sz w:val="20"/>
                <w:szCs w:val="20"/>
              </w:rPr>
              <w:t xml:space="preserve">% of total </w:t>
            </w:r>
            <w:r w:rsidR="008A73BE">
              <w:rPr>
                <w:sz w:val="20"/>
                <w:szCs w:val="20"/>
              </w:rPr>
              <w:t xml:space="preserve">annual </w:t>
            </w:r>
            <w:r w:rsidRPr="00B9501D">
              <w:rPr>
                <w:sz w:val="20"/>
                <w:szCs w:val="20"/>
              </w:rPr>
              <w:t>salary cost</w:t>
            </w:r>
            <w:r w:rsidR="008A73BE">
              <w:rPr>
                <w:sz w:val="20"/>
                <w:szCs w:val="20"/>
              </w:rPr>
              <w:t xml:space="preserve"> of </w:t>
            </w:r>
            <w:r w:rsidR="005779A3">
              <w:rPr>
                <w:sz w:val="20"/>
                <w:szCs w:val="20"/>
              </w:rPr>
              <w:t>27,494</w:t>
            </w:r>
            <w:r w:rsidR="003C3260" w:rsidRPr="004E000A">
              <w:rPr>
                <w:sz w:val="20"/>
                <w:szCs w:val="20"/>
              </w:rPr>
              <w:t>)</w:t>
            </w:r>
          </w:p>
          <w:p w:rsidR="00B9501D" w:rsidRPr="004E000A" w:rsidRDefault="005779A3" w:rsidP="004E000A">
            <w:pPr>
              <w:pStyle w:val="ListParagraph"/>
              <w:numPr>
                <w:ilvl w:val="0"/>
                <w:numId w:val="43"/>
              </w:numPr>
              <w:spacing w:after="0" w:line="276" w:lineRule="auto"/>
              <w:rPr>
                <w:sz w:val="20"/>
                <w:szCs w:val="20"/>
              </w:rPr>
            </w:pPr>
            <w:r>
              <w:rPr>
                <w:sz w:val="20"/>
                <w:szCs w:val="20"/>
              </w:rPr>
              <w:t xml:space="preserve">Governance </w:t>
            </w:r>
            <w:r w:rsidR="008A73BE">
              <w:rPr>
                <w:sz w:val="20"/>
                <w:szCs w:val="20"/>
              </w:rPr>
              <w:t xml:space="preserve"> Analyst NOB </w:t>
            </w:r>
            <w:r w:rsidR="00C42685">
              <w:rPr>
                <w:sz w:val="20"/>
                <w:szCs w:val="20"/>
              </w:rPr>
              <w:t>(1</w:t>
            </w:r>
            <w:r w:rsidR="00B9501D">
              <w:rPr>
                <w:sz w:val="20"/>
                <w:szCs w:val="20"/>
              </w:rPr>
              <w:t xml:space="preserve">0% of total </w:t>
            </w:r>
            <w:r w:rsidR="008A73BE">
              <w:rPr>
                <w:sz w:val="20"/>
                <w:szCs w:val="20"/>
              </w:rPr>
              <w:t xml:space="preserve">annual </w:t>
            </w:r>
            <w:r w:rsidR="00B9501D">
              <w:rPr>
                <w:sz w:val="20"/>
                <w:szCs w:val="20"/>
              </w:rPr>
              <w:t>salary cost</w:t>
            </w:r>
            <w:r w:rsidR="008A73BE">
              <w:rPr>
                <w:sz w:val="20"/>
                <w:szCs w:val="20"/>
              </w:rPr>
              <w:t xml:space="preserve"> of 59,019</w:t>
            </w:r>
            <w:r w:rsidR="00B9501D">
              <w:rPr>
                <w:sz w:val="20"/>
                <w:szCs w:val="20"/>
              </w:rPr>
              <w:t>)</w:t>
            </w:r>
          </w:p>
        </w:tc>
        <w:tc>
          <w:tcPr>
            <w:tcW w:w="3064" w:type="dxa"/>
            <w:shd w:val="clear" w:color="auto" w:fill="auto"/>
          </w:tcPr>
          <w:p w:rsidR="008A73BE" w:rsidRDefault="008A73BE" w:rsidP="003532B2">
            <w:pPr>
              <w:spacing w:after="0" w:line="276" w:lineRule="auto"/>
              <w:jc w:val="center"/>
              <w:rPr>
                <w:sz w:val="20"/>
                <w:szCs w:val="20"/>
              </w:rPr>
            </w:pPr>
          </w:p>
          <w:p w:rsidR="00B9501D" w:rsidRDefault="00C42685" w:rsidP="003532B2">
            <w:pPr>
              <w:spacing w:after="0" w:line="276" w:lineRule="auto"/>
              <w:jc w:val="center"/>
              <w:rPr>
                <w:sz w:val="20"/>
                <w:szCs w:val="20"/>
              </w:rPr>
            </w:pPr>
            <w:r>
              <w:rPr>
                <w:sz w:val="20"/>
                <w:szCs w:val="20"/>
              </w:rPr>
              <w:t>10,998</w:t>
            </w:r>
          </w:p>
          <w:p w:rsidR="0056061E" w:rsidRDefault="0056061E" w:rsidP="003532B2">
            <w:pPr>
              <w:spacing w:after="0" w:line="276" w:lineRule="auto"/>
              <w:jc w:val="center"/>
              <w:rPr>
                <w:sz w:val="20"/>
                <w:szCs w:val="20"/>
              </w:rPr>
            </w:pPr>
          </w:p>
          <w:p w:rsidR="008A73BE" w:rsidRPr="00FA7385" w:rsidRDefault="00C42685" w:rsidP="003532B2">
            <w:pPr>
              <w:spacing w:after="0" w:line="276" w:lineRule="auto"/>
              <w:jc w:val="center"/>
              <w:rPr>
                <w:sz w:val="20"/>
                <w:szCs w:val="20"/>
              </w:rPr>
            </w:pPr>
            <w:r>
              <w:rPr>
                <w:sz w:val="20"/>
                <w:szCs w:val="20"/>
              </w:rPr>
              <w:t>5,901</w:t>
            </w:r>
          </w:p>
        </w:tc>
        <w:tc>
          <w:tcPr>
            <w:tcW w:w="2340" w:type="dxa"/>
            <w:gridSpan w:val="2"/>
            <w:shd w:val="clear" w:color="auto" w:fill="auto"/>
          </w:tcPr>
          <w:p w:rsidR="00B9501D" w:rsidRDefault="00B9501D" w:rsidP="003532B2">
            <w:pPr>
              <w:spacing w:after="0" w:line="276" w:lineRule="auto"/>
              <w:jc w:val="center"/>
              <w:rPr>
                <w:sz w:val="20"/>
                <w:szCs w:val="20"/>
              </w:rPr>
            </w:pPr>
          </w:p>
          <w:p w:rsidR="008A73BE" w:rsidRDefault="00C42685" w:rsidP="003532B2">
            <w:pPr>
              <w:spacing w:after="0" w:line="276" w:lineRule="auto"/>
              <w:jc w:val="center"/>
              <w:rPr>
                <w:sz w:val="20"/>
                <w:szCs w:val="20"/>
              </w:rPr>
            </w:pPr>
            <w:r>
              <w:rPr>
                <w:sz w:val="20"/>
                <w:szCs w:val="20"/>
              </w:rPr>
              <w:t>2,749</w:t>
            </w:r>
          </w:p>
          <w:p w:rsidR="0056061E" w:rsidRDefault="0056061E" w:rsidP="003532B2">
            <w:pPr>
              <w:spacing w:after="0" w:line="276" w:lineRule="auto"/>
              <w:jc w:val="center"/>
              <w:rPr>
                <w:sz w:val="20"/>
                <w:szCs w:val="20"/>
              </w:rPr>
            </w:pPr>
          </w:p>
          <w:p w:rsidR="00B9501D" w:rsidRPr="00FA7385" w:rsidRDefault="00C42685" w:rsidP="003532B2">
            <w:pPr>
              <w:spacing w:after="0" w:line="276" w:lineRule="auto"/>
              <w:jc w:val="center"/>
              <w:rPr>
                <w:sz w:val="20"/>
                <w:szCs w:val="20"/>
              </w:rPr>
            </w:pPr>
            <w:r>
              <w:rPr>
                <w:sz w:val="20"/>
                <w:szCs w:val="20"/>
              </w:rPr>
              <w:t>1,475</w:t>
            </w:r>
          </w:p>
        </w:tc>
        <w:tc>
          <w:tcPr>
            <w:tcW w:w="1080" w:type="dxa"/>
            <w:shd w:val="clear" w:color="auto" w:fill="auto"/>
          </w:tcPr>
          <w:p w:rsidR="00B9501D" w:rsidRDefault="00B9501D" w:rsidP="003532B2">
            <w:pPr>
              <w:spacing w:after="0" w:line="276" w:lineRule="auto"/>
              <w:jc w:val="center"/>
              <w:rPr>
                <w:sz w:val="20"/>
                <w:szCs w:val="20"/>
              </w:rPr>
            </w:pPr>
          </w:p>
          <w:p w:rsidR="0056061E" w:rsidRDefault="00C42685" w:rsidP="003532B2">
            <w:pPr>
              <w:spacing w:after="0" w:line="276" w:lineRule="auto"/>
              <w:jc w:val="center"/>
              <w:rPr>
                <w:sz w:val="20"/>
                <w:szCs w:val="20"/>
              </w:rPr>
            </w:pPr>
            <w:r>
              <w:rPr>
                <w:sz w:val="20"/>
                <w:szCs w:val="20"/>
              </w:rPr>
              <w:t>13,747</w:t>
            </w:r>
          </w:p>
          <w:p w:rsidR="00C42685" w:rsidRDefault="00C42685" w:rsidP="003532B2">
            <w:pPr>
              <w:spacing w:after="0" w:line="276" w:lineRule="auto"/>
              <w:jc w:val="center"/>
              <w:rPr>
                <w:sz w:val="20"/>
                <w:szCs w:val="20"/>
              </w:rPr>
            </w:pPr>
          </w:p>
          <w:p w:rsidR="00D50045" w:rsidRPr="00FA7385" w:rsidRDefault="00C42685" w:rsidP="003532B2">
            <w:pPr>
              <w:spacing w:after="0" w:line="276" w:lineRule="auto"/>
              <w:jc w:val="center"/>
              <w:rPr>
                <w:sz w:val="20"/>
                <w:szCs w:val="20"/>
              </w:rPr>
            </w:pPr>
            <w:r>
              <w:rPr>
                <w:sz w:val="20"/>
                <w:szCs w:val="20"/>
              </w:rPr>
              <w:t>7,376</w:t>
            </w:r>
          </w:p>
        </w:tc>
      </w:tr>
      <w:tr w:rsidR="00BB4C26" w:rsidRPr="00FB41B3" w:rsidTr="004E000A">
        <w:trPr>
          <w:trHeight w:val="242"/>
        </w:trPr>
        <w:tc>
          <w:tcPr>
            <w:tcW w:w="6471" w:type="dxa"/>
            <w:shd w:val="clear" w:color="auto" w:fill="auto"/>
          </w:tcPr>
          <w:p w:rsidR="00BB4C26" w:rsidRDefault="001B4A60" w:rsidP="00F916CA">
            <w:pPr>
              <w:spacing w:after="0" w:line="276" w:lineRule="auto"/>
              <w:rPr>
                <w:sz w:val="18"/>
                <w:szCs w:val="18"/>
              </w:rPr>
            </w:pPr>
            <w:r>
              <w:rPr>
                <w:sz w:val="18"/>
                <w:szCs w:val="18"/>
              </w:rPr>
              <w:t xml:space="preserve">Direct Project Costs, </w:t>
            </w:r>
            <w:r w:rsidR="00B9501D">
              <w:rPr>
                <w:sz w:val="18"/>
                <w:szCs w:val="18"/>
              </w:rPr>
              <w:t xml:space="preserve">Common Services </w:t>
            </w:r>
            <w:r w:rsidR="00814954">
              <w:rPr>
                <w:sz w:val="18"/>
                <w:szCs w:val="18"/>
              </w:rPr>
              <w:t xml:space="preserve">and </w:t>
            </w:r>
            <w:r w:rsidR="0056061E">
              <w:rPr>
                <w:sz w:val="18"/>
                <w:szCs w:val="18"/>
              </w:rPr>
              <w:t xml:space="preserve">Internal </w:t>
            </w:r>
            <w:r w:rsidR="00814954">
              <w:rPr>
                <w:sz w:val="18"/>
                <w:szCs w:val="18"/>
              </w:rPr>
              <w:t>Evaluation</w:t>
            </w:r>
          </w:p>
          <w:p w:rsidR="003532B2" w:rsidRPr="00FB41B3" w:rsidRDefault="003532B2" w:rsidP="00F916CA">
            <w:pPr>
              <w:spacing w:after="0" w:line="276" w:lineRule="auto"/>
              <w:rPr>
                <w:sz w:val="18"/>
                <w:szCs w:val="18"/>
              </w:rPr>
            </w:pPr>
          </w:p>
        </w:tc>
        <w:tc>
          <w:tcPr>
            <w:tcW w:w="3064" w:type="dxa"/>
            <w:shd w:val="clear" w:color="auto" w:fill="auto"/>
          </w:tcPr>
          <w:p w:rsidR="00BB4C26" w:rsidRPr="00FB41B3" w:rsidRDefault="003532B2" w:rsidP="003532B2">
            <w:pPr>
              <w:spacing w:after="0" w:line="276" w:lineRule="auto"/>
              <w:jc w:val="center"/>
              <w:rPr>
                <w:sz w:val="18"/>
                <w:szCs w:val="18"/>
              </w:rPr>
            </w:pPr>
            <w:r>
              <w:rPr>
                <w:sz w:val="18"/>
                <w:szCs w:val="18"/>
              </w:rPr>
              <w:t>11,891</w:t>
            </w:r>
          </w:p>
        </w:tc>
        <w:tc>
          <w:tcPr>
            <w:tcW w:w="2340" w:type="dxa"/>
            <w:gridSpan w:val="2"/>
            <w:shd w:val="clear" w:color="auto" w:fill="auto"/>
          </w:tcPr>
          <w:p w:rsidR="00BB4C26" w:rsidRPr="00FB41B3" w:rsidRDefault="003532B2" w:rsidP="003532B2">
            <w:pPr>
              <w:spacing w:after="0" w:line="276" w:lineRule="auto"/>
              <w:jc w:val="center"/>
              <w:rPr>
                <w:sz w:val="18"/>
                <w:szCs w:val="18"/>
              </w:rPr>
            </w:pPr>
            <w:r>
              <w:rPr>
                <w:sz w:val="18"/>
                <w:szCs w:val="18"/>
              </w:rPr>
              <w:t>2,974</w:t>
            </w:r>
          </w:p>
        </w:tc>
        <w:tc>
          <w:tcPr>
            <w:tcW w:w="1080" w:type="dxa"/>
            <w:shd w:val="clear" w:color="auto" w:fill="auto"/>
          </w:tcPr>
          <w:p w:rsidR="00BB4C26" w:rsidRPr="00FB41B3" w:rsidRDefault="00C42685" w:rsidP="003532B2">
            <w:pPr>
              <w:spacing w:after="0" w:line="276" w:lineRule="auto"/>
              <w:jc w:val="center"/>
              <w:rPr>
                <w:sz w:val="18"/>
                <w:szCs w:val="18"/>
              </w:rPr>
            </w:pPr>
            <w:r>
              <w:rPr>
                <w:sz w:val="18"/>
                <w:szCs w:val="18"/>
              </w:rPr>
              <w:t>14,865</w:t>
            </w:r>
          </w:p>
        </w:tc>
      </w:tr>
      <w:tr w:rsidR="00BB4C26" w:rsidRPr="00DD5216" w:rsidTr="000A1714">
        <w:trPr>
          <w:trHeight w:val="257"/>
        </w:trPr>
        <w:tc>
          <w:tcPr>
            <w:tcW w:w="6471" w:type="dxa"/>
            <w:shd w:val="clear" w:color="auto" w:fill="D9D9D9" w:themeFill="background1" w:themeFillShade="D9"/>
          </w:tcPr>
          <w:p w:rsidR="00BB4C26" w:rsidRPr="003532B2" w:rsidRDefault="00417CE3" w:rsidP="00912305">
            <w:pPr>
              <w:spacing w:after="0" w:line="276" w:lineRule="auto"/>
              <w:rPr>
                <w:b/>
                <w:sz w:val="18"/>
                <w:szCs w:val="18"/>
              </w:rPr>
            </w:pPr>
            <w:r w:rsidRPr="003532B2">
              <w:rPr>
                <w:b/>
                <w:sz w:val="18"/>
                <w:szCs w:val="18"/>
              </w:rPr>
              <w:t xml:space="preserve">Output 4 sub-total </w:t>
            </w:r>
          </w:p>
          <w:p w:rsidR="00CF6C62" w:rsidRPr="004E000A" w:rsidRDefault="00CF6C62" w:rsidP="00912305">
            <w:pPr>
              <w:spacing w:after="0" w:line="276" w:lineRule="auto"/>
              <w:rPr>
                <w:sz w:val="18"/>
                <w:szCs w:val="18"/>
              </w:rPr>
            </w:pPr>
          </w:p>
        </w:tc>
        <w:tc>
          <w:tcPr>
            <w:tcW w:w="3064" w:type="dxa"/>
            <w:shd w:val="clear" w:color="auto" w:fill="D9D9D9" w:themeFill="background1" w:themeFillShade="D9"/>
          </w:tcPr>
          <w:p w:rsidR="00BB4C26" w:rsidRPr="004E000A" w:rsidRDefault="008E57A5" w:rsidP="003532B2">
            <w:pPr>
              <w:spacing w:after="0" w:line="276" w:lineRule="auto"/>
              <w:jc w:val="center"/>
              <w:rPr>
                <w:sz w:val="18"/>
                <w:szCs w:val="18"/>
              </w:rPr>
            </w:pPr>
            <w:r>
              <w:rPr>
                <w:sz w:val="18"/>
                <w:szCs w:val="18"/>
              </w:rPr>
              <w:t>28,790</w:t>
            </w:r>
          </w:p>
        </w:tc>
        <w:tc>
          <w:tcPr>
            <w:tcW w:w="2340" w:type="dxa"/>
            <w:gridSpan w:val="2"/>
            <w:shd w:val="clear" w:color="auto" w:fill="D9D9D9" w:themeFill="background1" w:themeFillShade="D9"/>
          </w:tcPr>
          <w:p w:rsidR="00BB4C26" w:rsidRPr="004E000A" w:rsidRDefault="008E57A5" w:rsidP="003532B2">
            <w:pPr>
              <w:spacing w:after="0" w:line="276" w:lineRule="auto"/>
              <w:jc w:val="center"/>
              <w:rPr>
                <w:sz w:val="18"/>
                <w:szCs w:val="18"/>
              </w:rPr>
            </w:pPr>
            <w:r>
              <w:rPr>
                <w:sz w:val="18"/>
                <w:szCs w:val="18"/>
              </w:rPr>
              <w:t>7,198</w:t>
            </w:r>
          </w:p>
        </w:tc>
        <w:tc>
          <w:tcPr>
            <w:tcW w:w="1080" w:type="dxa"/>
            <w:shd w:val="clear" w:color="auto" w:fill="D9D9D9" w:themeFill="background1" w:themeFillShade="D9"/>
          </w:tcPr>
          <w:p w:rsidR="00BB4C26" w:rsidRPr="004E000A" w:rsidRDefault="00F70CE2" w:rsidP="003532B2">
            <w:pPr>
              <w:spacing w:after="0" w:line="276" w:lineRule="auto"/>
              <w:jc w:val="center"/>
              <w:rPr>
                <w:sz w:val="18"/>
                <w:szCs w:val="18"/>
              </w:rPr>
            </w:pPr>
            <w:r>
              <w:rPr>
                <w:sz w:val="18"/>
                <w:szCs w:val="18"/>
              </w:rPr>
              <w:t>35,988</w:t>
            </w:r>
          </w:p>
        </w:tc>
      </w:tr>
      <w:tr w:rsidR="00BB4C26" w:rsidRPr="00FB41B3" w:rsidTr="003532B2">
        <w:trPr>
          <w:trHeight w:val="242"/>
        </w:trPr>
        <w:tc>
          <w:tcPr>
            <w:tcW w:w="6471" w:type="dxa"/>
            <w:shd w:val="clear" w:color="auto" w:fill="FFFF00"/>
          </w:tcPr>
          <w:p w:rsidR="00BB4C26" w:rsidRPr="003532B2" w:rsidRDefault="00DD5216" w:rsidP="00DD5216">
            <w:pPr>
              <w:spacing w:after="0" w:line="276" w:lineRule="auto"/>
              <w:rPr>
                <w:b/>
                <w:sz w:val="18"/>
                <w:szCs w:val="18"/>
              </w:rPr>
            </w:pPr>
            <w:r w:rsidRPr="003532B2">
              <w:rPr>
                <w:b/>
                <w:sz w:val="18"/>
                <w:szCs w:val="18"/>
              </w:rPr>
              <w:t>Output</w:t>
            </w:r>
            <w:r w:rsidR="00417CE3" w:rsidRPr="003532B2">
              <w:rPr>
                <w:b/>
                <w:sz w:val="18"/>
                <w:szCs w:val="18"/>
              </w:rPr>
              <w:t xml:space="preserve">s 1, 2 and 3 </w:t>
            </w:r>
            <w:r w:rsidRPr="003532B2">
              <w:rPr>
                <w:b/>
                <w:sz w:val="18"/>
                <w:szCs w:val="18"/>
              </w:rPr>
              <w:t xml:space="preserve"> Activities Total </w:t>
            </w:r>
          </w:p>
          <w:p w:rsidR="00CF6C62" w:rsidRPr="003532B2" w:rsidRDefault="00CF6C62" w:rsidP="00DD5216">
            <w:pPr>
              <w:spacing w:after="0" w:line="276" w:lineRule="auto"/>
              <w:rPr>
                <w:b/>
                <w:sz w:val="18"/>
                <w:szCs w:val="18"/>
              </w:rPr>
            </w:pPr>
          </w:p>
        </w:tc>
        <w:tc>
          <w:tcPr>
            <w:tcW w:w="3064" w:type="dxa"/>
            <w:shd w:val="clear" w:color="auto" w:fill="FFFF00"/>
          </w:tcPr>
          <w:p w:rsidR="00BB4C26" w:rsidRPr="003532B2" w:rsidRDefault="00253B9D" w:rsidP="003532B2">
            <w:pPr>
              <w:spacing w:after="0" w:line="276" w:lineRule="auto"/>
              <w:jc w:val="center"/>
              <w:rPr>
                <w:sz w:val="18"/>
                <w:szCs w:val="18"/>
              </w:rPr>
            </w:pPr>
            <w:r>
              <w:rPr>
                <w:sz w:val="18"/>
                <w:szCs w:val="18"/>
              </w:rPr>
              <w:t>15</w:t>
            </w:r>
            <w:r w:rsidR="00F70CE2" w:rsidRPr="003532B2">
              <w:rPr>
                <w:sz w:val="18"/>
                <w:szCs w:val="18"/>
              </w:rPr>
              <w:t>1,210</w:t>
            </w:r>
          </w:p>
        </w:tc>
        <w:tc>
          <w:tcPr>
            <w:tcW w:w="2340" w:type="dxa"/>
            <w:gridSpan w:val="2"/>
            <w:shd w:val="clear" w:color="auto" w:fill="FFFF00"/>
          </w:tcPr>
          <w:p w:rsidR="00BB4C26" w:rsidRPr="003532B2" w:rsidRDefault="00253B9D" w:rsidP="003532B2">
            <w:pPr>
              <w:spacing w:after="0" w:line="276" w:lineRule="auto"/>
              <w:jc w:val="center"/>
              <w:rPr>
                <w:sz w:val="18"/>
                <w:szCs w:val="18"/>
              </w:rPr>
            </w:pPr>
            <w:r>
              <w:rPr>
                <w:sz w:val="18"/>
                <w:szCs w:val="18"/>
              </w:rPr>
              <w:t>13</w:t>
            </w:r>
            <w:r w:rsidR="00F70CE2" w:rsidRPr="003532B2">
              <w:rPr>
                <w:sz w:val="18"/>
                <w:szCs w:val="18"/>
              </w:rPr>
              <w:t>2,802</w:t>
            </w:r>
          </w:p>
        </w:tc>
        <w:tc>
          <w:tcPr>
            <w:tcW w:w="1080" w:type="dxa"/>
            <w:shd w:val="clear" w:color="auto" w:fill="FFFF00"/>
          </w:tcPr>
          <w:p w:rsidR="00BB4C26" w:rsidRPr="00FB41B3" w:rsidRDefault="00F70CE2" w:rsidP="003532B2">
            <w:pPr>
              <w:spacing w:after="0" w:line="276" w:lineRule="auto"/>
              <w:jc w:val="center"/>
              <w:rPr>
                <w:sz w:val="18"/>
                <w:szCs w:val="18"/>
              </w:rPr>
            </w:pPr>
            <w:r w:rsidRPr="003532B2">
              <w:rPr>
                <w:sz w:val="18"/>
                <w:szCs w:val="18"/>
              </w:rPr>
              <w:t>284,012</w:t>
            </w:r>
          </w:p>
        </w:tc>
      </w:tr>
      <w:tr w:rsidR="00BB4C26" w:rsidRPr="003532B2" w:rsidTr="003532B2">
        <w:trPr>
          <w:trHeight w:val="409"/>
        </w:trPr>
        <w:tc>
          <w:tcPr>
            <w:tcW w:w="6471" w:type="dxa"/>
            <w:tcBorders>
              <w:right w:val="nil"/>
            </w:tcBorders>
            <w:shd w:val="clear" w:color="auto" w:fill="92D050"/>
          </w:tcPr>
          <w:p w:rsidR="00C411BF" w:rsidRDefault="00C411BF" w:rsidP="00417CE3">
            <w:pPr>
              <w:spacing w:line="276" w:lineRule="auto"/>
              <w:rPr>
                <w:b/>
              </w:rPr>
            </w:pPr>
          </w:p>
          <w:p w:rsidR="00BB4C26" w:rsidRPr="003532B2" w:rsidRDefault="00BB4C26" w:rsidP="00417CE3">
            <w:pPr>
              <w:spacing w:line="276" w:lineRule="auto"/>
              <w:rPr>
                <w:b/>
              </w:rPr>
            </w:pPr>
            <w:r w:rsidRPr="003532B2">
              <w:rPr>
                <w:b/>
              </w:rPr>
              <w:t>TOTAL PROJECT BUDGET</w:t>
            </w:r>
            <w:r w:rsidR="00912305" w:rsidRPr="003532B2">
              <w:rPr>
                <w:b/>
              </w:rPr>
              <w:t xml:space="preserve"> Outputs 1, 2, 3 and 4</w:t>
            </w:r>
          </w:p>
        </w:tc>
        <w:tc>
          <w:tcPr>
            <w:tcW w:w="3064" w:type="dxa"/>
            <w:tcBorders>
              <w:right w:val="nil"/>
            </w:tcBorders>
            <w:shd w:val="clear" w:color="auto" w:fill="92D050"/>
          </w:tcPr>
          <w:p w:rsidR="003532B2" w:rsidRPr="003532B2" w:rsidRDefault="003532B2" w:rsidP="00417CE3">
            <w:pPr>
              <w:spacing w:after="0" w:line="276" w:lineRule="auto"/>
              <w:jc w:val="center"/>
              <w:rPr>
                <w:b/>
              </w:rPr>
            </w:pPr>
          </w:p>
          <w:p w:rsidR="00BB4C26" w:rsidRPr="003532B2" w:rsidRDefault="007B5D84" w:rsidP="007B5D84">
            <w:pPr>
              <w:spacing w:after="0" w:line="276" w:lineRule="auto"/>
              <w:jc w:val="center"/>
              <w:rPr>
                <w:b/>
              </w:rPr>
            </w:pPr>
            <w:r>
              <w:rPr>
                <w:b/>
              </w:rPr>
              <w:t>180</w:t>
            </w:r>
            <w:r w:rsidR="00CF6C62" w:rsidRPr="003532B2">
              <w:rPr>
                <w:b/>
              </w:rPr>
              <w:t>,000</w:t>
            </w:r>
          </w:p>
        </w:tc>
        <w:tc>
          <w:tcPr>
            <w:tcW w:w="236" w:type="dxa"/>
            <w:tcBorders>
              <w:right w:val="nil"/>
            </w:tcBorders>
            <w:shd w:val="clear" w:color="auto" w:fill="92D050"/>
          </w:tcPr>
          <w:p w:rsidR="00BB4C26" w:rsidRPr="003532B2" w:rsidRDefault="00BB4C26" w:rsidP="00417CE3">
            <w:pPr>
              <w:spacing w:after="0" w:line="276" w:lineRule="auto"/>
              <w:jc w:val="center"/>
              <w:rPr>
                <w:b/>
              </w:rPr>
            </w:pPr>
          </w:p>
        </w:tc>
        <w:tc>
          <w:tcPr>
            <w:tcW w:w="2104" w:type="dxa"/>
            <w:tcBorders>
              <w:top w:val="single" w:sz="4" w:space="0" w:color="auto"/>
              <w:left w:val="nil"/>
              <w:bottom w:val="single" w:sz="4" w:space="0" w:color="auto"/>
            </w:tcBorders>
            <w:shd w:val="clear" w:color="auto" w:fill="92D050"/>
          </w:tcPr>
          <w:p w:rsidR="003532B2" w:rsidRPr="003532B2" w:rsidRDefault="003532B2" w:rsidP="00417CE3">
            <w:pPr>
              <w:spacing w:after="0" w:line="276" w:lineRule="auto"/>
              <w:jc w:val="center"/>
              <w:rPr>
                <w:b/>
              </w:rPr>
            </w:pPr>
          </w:p>
          <w:p w:rsidR="00BB4C26" w:rsidRPr="003532B2" w:rsidRDefault="00CF6C62" w:rsidP="007B5D84">
            <w:pPr>
              <w:spacing w:after="0" w:line="276" w:lineRule="auto"/>
              <w:jc w:val="center"/>
              <w:rPr>
                <w:b/>
              </w:rPr>
            </w:pPr>
            <w:r w:rsidRPr="003532B2">
              <w:rPr>
                <w:b/>
              </w:rPr>
              <w:t>1</w:t>
            </w:r>
            <w:r w:rsidR="007B5D84">
              <w:rPr>
                <w:b/>
              </w:rPr>
              <w:t>40</w:t>
            </w:r>
            <w:r w:rsidRPr="003532B2">
              <w:rPr>
                <w:b/>
              </w:rPr>
              <w:t>,000</w:t>
            </w:r>
          </w:p>
        </w:tc>
        <w:tc>
          <w:tcPr>
            <w:tcW w:w="1080" w:type="dxa"/>
            <w:shd w:val="clear" w:color="auto" w:fill="92D050"/>
          </w:tcPr>
          <w:p w:rsidR="003532B2" w:rsidRPr="003532B2" w:rsidRDefault="003532B2" w:rsidP="00417CE3">
            <w:pPr>
              <w:spacing w:after="0" w:line="276" w:lineRule="auto"/>
              <w:rPr>
                <w:b/>
              </w:rPr>
            </w:pPr>
          </w:p>
          <w:p w:rsidR="00BB4C26" w:rsidRPr="003532B2" w:rsidRDefault="00DD5216" w:rsidP="00417CE3">
            <w:pPr>
              <w:spacing w:after="0" w:line="276" w:lineRule="auto"/>
              <w:rPr>
                <w:b/>
              </w:rPr>
            </w:pPr>
            <w:r w:rsidRPr="003532B2">
              <w:rPr>
                <w:b/>
              </w:rPr>
              <w:t>320,000</w:t>
            </w:r>
          </w:p>
        </w:tc>
      </w:tr>
    </w:tbl>
    <w:p w:rsidR="00545962" w:rsidRDefault="00545962" w:rsidP="00F916CA">
      <w:pPr>
        <w:spacing w:after="0" w:line="276" w:lineRule="auto"/>
        <w:rPr>
          <w:b/>
          <w:sz w:val="20"/>
          <w:szCs w:val="20"/>
          <w:u w:val="single"/>
        </w:rPr>
      </w:pPr>
    </w:p>
    <w:p w:rsidR="00256B38" w:rsidRPr="00545962" w:rsidRDefault="00822073" w:rsidP="00F916CA">
      <w:pPr>
        <w:spacing w:after="0" w:line="276" w:lineRule="auto"/>
        <w:rPr>
          <w:b/>
          <w:sz w:val="18"/>
          <w:szCs w:val="18"/>
          <w:u w:val="single"/>
          <w:lang w:val="en-GB"/>
        </w:rPr>
      </w:pPr>
      <w:r w:rsidRPr="00545962">
        <w:rPr>
          <w:b/>
          <w:sz w:val="20"/>
          <w:szCs w:val="20"/>
          <w:u w:val="single"/>
        </w:rPr>
        <w:t xml:space="preserve">*Experts and consultants are </w:t>
      </w:r>
      <w:r w:rsidR="003532B2">
        <w:rPr>
          <w:b/>
          <w:sz w:val="20"/>
          <w:szCs w:val="20"/>
          <w:u w:val="single"/>
        </w:rPr>
        <w:t xml:space="preserve">also </w:t>
      </w:r>
      <w:r w:rsidRPr="00545962">
        <w:rPr>
          <w:b/>
          <w:sz w:val="20"/>
          <w:szCs w:val="20"/>
          <w:u w:val="single"/>
        </w:rPr>
        <w:t>written into each activity including fees, travel DSA</w:t>
      </w:r>
      <w:r w:rsidR="005A1707" w:rsidRPr="00545962">
        <w:rPr>
          <w:b/>
          <w:sz w:val="20"/>
          <w:szCs w:val="20"/>
          <w:u w:val="single"/>
        </w:rPr>
        <w:t xml:space="preserve"> and </w:t>
      </w:r>
      <w:r w:rsidR="003532B2">
        <w:rPr>
          <w:b/>
          <w:sz w:val="20"/>
          <w:szCs w:val="20"/>
          <w:u w:val="single"/>
        </w:rPr>
        <w:t xml:space="preserve">directly </w:t>
      </w:r>
      <w:r w:rsidR="005A1707" w:rsidRPr="00545962">
        <w:rPr>
          <w:b/>
          <w:sz w:val="20"/>
          <w:szCs w:val="20"/>
          <w:u w:val="single"/>
        </w:rPr>
        <w:t>associated direct project costs.</w:t>
      </w:r>
    </w:p>
    <w:p w:rsidR="00256B38" w:rsidRPr="00FB41B3" w:rsidRDefault="00256B38" w:rsidP="00F916CA">
      <w:pPr>
        <w:spacing w:line="276" w:lineRule="auto"/>
        <w:rPr>
          <w:sz w:val="18"/>
          <w:szCs w:val="18"/>
          <w:lang w:val="en-GB"/>
        </w:rPr>
      </w:pPr>
    </w:p>
    <w:p w:rsidR="00965591" w:rsidRDefault="00B467EE">
      <w:pPr>
        <w:rPr>
          <w:rFonts w:cs="Times New Roman"/>
          <w:sz w:val="24"/>
          <w:szCs w:val="24"/>
        </w:rPr>
      </w:pPr>
      <w:r>
        <w:rPr>
          <w:rFonts w:cs="Times New Roman"/>
          <w:sz w:val="24"/>
          <w:szCs w:val="24"/>
        </w:rPr>
        <w:br w:type="page"/>
      </w:r>
    </w:p>
    <w:p w:rsidR="00965591" w:rsidRPr="004E000A" w:rsidRDefault="00C33409" w:rsidP="004E000A">
      <w:pPr>
        <w:rPr>
          <w:b/>
          <w:sz w:val="24"/>
        </w:rPr>
      </w:pPr>
      <w:r w:rsidRPr="004E000A">
        <w:rPr>
          <w:b/>
          <w:sz w:val="24"/>
        </w:rPr>
        <w:t xml:space="preserve">ANNEX 2: </w:t>
      </w:r>
      <w:r w:rsidR="00965591" w:rsidRPr="004E000A">
        <w:rPr>
          <w:b/>
          <w:sz w:val="24"/>
        </w:rPr>
        <w:t>RISK LOG</w:t>
      </w:r>
    </w:p>
    <w:p w:rsidR="00965591" w:rsidRPr="004E000A" w:rsidRDefault="00965591" w:rsidP="00965591">
      <w:pPr>
        <w:jc w:val="center"/>
        <w:rPr>
          <w:rFonts w:ascii="Century Gothic" w:hAnsi="Century Gothic"/>
          <w:i/>
          <w:sz w:val="20"/>
          <w:szCs w:val="20"/>
        </w:rPr>
      </w:pPr>
      <w:r>
        <w:rPr>
          <w:rFonts w:ascii="Century Gothic" w:hAnsi="Century Gothic"/>
          <w:i/>
          <w:sz w:val="20"/>
          <w:szCs w:val="20"/>
        </w:rPr>
        <w:t xml:space="preserve"> </w:t>
      </w:r>
    </w:p>
    <w:tbl>
      <w:tblPr>
        <w:tblW w:w="1348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687"/>
        <w:gridCol w:w="3510"/>
        <w:gridCol w:w="2880"/>
        <w:gridCol w:w="1980"/>
      </w:tblGrid>
      <w:tr w:rsidR="003B289F" w:rsidRPr="00A44EC7" w:rsidTr="004E000A">
        <w:tc>
          <w:tcPr>
            <w:tcW w:w="372" w:type="dxa"/>
            <w:shd w:val="clear" w:color="auto" w:fill="FFCC00"/>
          </w:tcPr>
          <w:p w:rsidR="003B289F" w:rsidRPr="00A44EC7" w:rsidRDefault="003B289F" w:rsidP="00825C24">
            <w:pPr>
              <w:rPr>
                <w:rFonts w:cs="Arial"/>
                <w:b/>
                <w:sz w:val="24"/>
              </w:rPr>
            </w:pPr>
            <w:r w:rsidRPr="00A44EC7">
              <w:rPr>
                <w:rFonts w:cs="Arial"/>
                <w:b/>
                <w:sz w:val="24"/>
              </w:rPr>
              <w:t>#</w:t>
            </w:r>
          </w:p>
        </w:tc>
        <w:tc>
          <w:tcPr>
            <w:tcW w:w="1800" w:type="dxa"/>
            <w:shd w:val="clear" w:color="auto" w:fill="FFCC00"/>
          </w:tcPr>
          <w:p w:rsidR="003B289F" w:rsidRPr="001D0F8F" w:rsidRDefault="003B289F" w:rsidP="00825C24">
            <w:pPr>
              <w:rPr>
                <w:rFonts w:cs="Arial"/>
                <w:b/>
                <w:szCs w:val="20"/>
              </w:rPr>
            </w:pPr>
            <w:r w:rsidRPr="001D0F8F">
              <w:rPr>
                <w:rFonts w:cs="Arial"/>
                <w:b/>
                <w:szCs w:val="20"/>
              </w:rPr>
              <w:t>Description</w:t>
            </w:r>
          </w:p>
        </w:tc>
        <w:tc>
          <w:tcPr>
            <w:tcW w:w="1260" w:type="dxa"/>
            <w:shd w:val="clear" w:color="auto" w:fill="FFCC00"/>
          </w:tcPr>
          <w:p w:rsidR="003B289F" w:rsidRPr="001D0F8F" w:rsidRDefault="003B289F" w:rsidP="00825C24">
            <w:pPr>
              <w:rPr>
                <w:rFonts w:cs="Arial"/>
                <w:b/>
                <w:szCs w:val="20"/>
              </w:rPr>
            </w:pPr>
            <w:r w:rsidRPr="001D0F8F">
              <w:rPr>
                <w:rFonts w:cs="Arial"/>
                <w:b/>
                <w:szCs w:val="20"/>
              </w:rPr>
              <w:t>Date Identified</w:t>
            </w:r>
          </w:p>
        </w:tc>
        <w:tc>
          <w:tcPr>
            <w:tcW w:w="1687" w:type="dxa"/>
            <w:shd w:val="clear" w:color="auto" w:fill="FFCC00"/>
          </w:tcPr>
          <w:p w:rsidR="003B289F" w:rsidRPr="001D0F8F" w:rsidRDefault="003B289F" w:rsidP="00825C24">
            <w:pPr>
              <w:rPr>
                <w:rFonts w:cs="Arial"/>
                <w:b/>
                <w:szCs w:val="20"/>
              </w:rPr>
            </w:pPr>
            <w:r>
              <w:rPr>
                <w:rFonts w:cs="Arial"/>
                <w:b/>
                <w:szCs w:val="20"/>
              </w:rPr>
              <w:t>Type</w:t>
            </w:r>
          </w:p>
        </w:tc>
        <w:tc>
          <w:tcPr>
            <w:tcW w:w="3510" w:type="dxa"/>
            <w:shd w:val="clear" w:color="auto" w:fill="FFCC00"/>
          </w:tcPr>
          <w:p w:rsidR="003B289F" w:rsidRPr="001D0F8F" w:rsidRDefault="003B289F" w:rsidP="00825C24">
            <w:pPr>
              <w:rPr>
                <w:rFonts w:cs="Arial"/>
                <w:b/>
                <w:szCs w:val="20"/>
              </w:rPr>
            </w:pPr>
            <w:r w:rsidRPr="001D0F8F">
              <w:rPr>
                <w:rFonts w:cs="Arial"/>
                <w:b/>
                <w:szCs w:val="20"/>
              </w:rPr>
              <w:t>Impact &amp;</w:t>
            </w:r>
          </w:p>
          <w:p w:rsidR="003B289F" w:rsidRPr="001D0F8F" w:rsidRDefault="003B289F" w:rsidP="00825C24">
            <w:pPr>
              <w:rPr>
                <w:rFonts w:cs="Arial"/>
                <w:b/>
                <w:szCs w:val="20"/>
              </w:rPr>
            </w:pPr>
            <w:r w:rsidRPr="001D0F8F">
              <w:rPr>
                <w:rFonts w:cs="Arial"/>
                <w:b/>
                <w:szCs w:val="20"/>
              </w:rPr>
              <w:t>Probability</w:t>
            </w:r>
          </w:p>
        </w:tc>
        <w:tc>
          <w:tcPr>
            <w:tcW w:w="2880" w:type="dxa"/>
            <w:shd w:val="clear" w:color="auto" w:fill="FFCC00"/>
          </w:tcPr>
          <w:p w:rsidR="003B289F" w:rsidRPr="001D0F8F" w:rsidRDefault="003B289F" w:rsidP="00825C24">
            <w:pPr>
              <w:rPr>
                <w:rFonts w:cs="Arial"/>
                <w:b/>
                <w:szCs w:val="20"/>
              </w:rPr>
            </w:pPr>
            <w:r w:rsidRPr="001D0F8F">
              <w:rPr>
                <w:rFonts w:cs="Arial"/>
                <w:b/>
                <w:szCs w:val="20"/>
              </w:rPr>
              <w:t>Countermeasures / Mngt response</w:t>
            </w:r>
          </w:p>
        </w:tc>
        <w:tc>
          <w:tcPr>
            <w:tcW w:w="1980" w:type="dxa"/>
            <w:shd w:val="clear" w:color="auto" w:fill="FFCC00"/>
          </w:tcPr>
          <w:p w:rsidR="003B289F" w:rsidRPr="001D0F8F" w:rsidRDefault="003B289F" w:rsidP="00825C24">
            <w:pPr>
              <w:rPr>
                <w:rFonts w:cs="Arial"/>
                <w:b/>
                <w:szCs w:val="20"/>
              </w:rPr>
            </w:pPr>
            <w:r w:rsidRPr="001D0F8F">
              <w:rPr>
                <w:rFonts w:cs="Arial"/>
                <w:b/>
                <w:szCs w:val="20"/>
              </w:rPr>
              <w:t>Owner</w:t>
            </w:r>
          </w:p>
        </w:tc>
      </w:tr>
      <w:tr w:rsidR="003B289F" w:rsidRPr="008A4E35" w:rsidTr="004E000A">
        <w:tc>
          <w:tcPr>
            <w:tcW w:w="372" w:type="dxa"/>
          </w:tcPr>
          <w:p w:rsidR="003B289F" w:rsidRPr="004E000A" w:rsidRDefault="003B289F" w:rsidP="00825C24">
            <w:pPr>
              <w:rPr>
                <w:rFonts w:cs="Arial"/>
                <w:sz w:val="16"/>
                <w:szCs w:val="16"/>
              </w:rPr>
            </w:pPr>
          </w:p>
        </w:tc>
        <w:tc>
          <w:tcPr>
            <w:tcW w:w="1800" w:type="dxa"/>
          </w:tcPr>
          <w:p w:rsidR="003B289F" w:rsidRPr="004E000A" w:rsidRDefault="003B289F" w:rsidP="00825C24">
            <w:pPr>
              <w:rPr>
                <w:rFonts w:cs="Arial"/>
                <w:sz w:val="16"/>
                <w:szCs w:val="16"/>
              </w:rPr>
            </w:pPr>
            <w:r w:rsidRPr="004E000A">
              <w:rPr>
                <w:rFonts w:cs="Arial"/>
                <w:sz w:val="16"/>
                <w:szCs w:val="16"/>
              </w:rPr>
              <w:t>Enter a brief description of the risk</w:t>
            </w: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i/>
                <w:sz w:val="16"/>
                <w:szCs w:val="16"/>
              </w:rPr>
            </w:pPr>
          </w:p>
          <w:p w:rsidR="003B289F" w:rsidRPr="004E000A" w:rsidRDefault="003B289F" w:rsidP="00825C24">
            <w:pPr>
              <w:rPr>
                <w:rFonts w:cs="Arial"/>
                <w:i/>
                <w:sz w:val="16"/>
                <w:szCs w:val="16"/>
              </w:rPr>
            </w:pPr>
          </w:p>
          <w:p w:rsidR="003B289F" w:rsidRPr="004E000A" w:rsidRDefault="003B289F" w:rsidP="00825C24">
            <w:pPr>
              <w:rPr>
                <w:rFonts w:cs="Arial"/>
                <w:i/>
                <w:sz w:val="16"/>
                <w:szCs w:val="16"/>
              </w:rPr>
            </w:pPr>
          </w:p>
        </w:tc>
        <w:tc>
          <w:tcPr>
            <w:tcW w:w="1260" w:type="dxa"/>
          </w:tcPr>
          <w:p w:rsidR="003B289F" w:rsidRPr="004E000A" w:rsidRDefault="003B289F" w:rsidP="00825C24">
            <w:pPr>
              <w:rPr>
                <w:rFonts w:cs="Arial"/>
                <w:sz w:val="16"/>
                <w:szCs w:val="16"/>
              </w:rPr>
            </w:pPr>
            <w:r w:rsidRPr="004E000A">
              <w:rPr>
                <w:rFonts w:cs="Arial"/>
                <w:sz w:val="16"/>
                <w:szCs w:val="16"/>
              </w:rPr>
              <w:t>When was the risk first identified</w:t>
            </w: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i/>
                <w:sz w:val="16"/>
                <w:szCs w:val="16"/>
              </w:rPr>
            </w:pPr>
          </w:p>
        </w:tc>
        <w:tc>
          <w:tcPr>
            <w:tcW w:w="1687" w:type="dxa"/>
          </w:tcPr>
          <w:p w:rsidR="003B289F" w:rsidRPr="004E000A" w:rsidRDefault="003B289F" w:rsidP="00825C24">
            <w:pPr>
              <w:rPr>
                <w:rFonts w:cs="Arial"/>
                <w:sz w:val="16"/>
                <w:szCs w:val="16"/>
              </w:rPr>
            </w:pPr>
            <w:r w:rsidRPr="004E000A">
              <w:rPr>
                <w:rFonts w:cs="Arial"/>
                <w:sz w:val="16"/>
                <w:szCs w:val="16"/>
              </w:rPr>
              <w:t>Environmental</w:t>
            </w:r>
          </w:p>
          <w:p w:rsidR="003B289F" w:rsidRPr="004E000A" w:rsidRDefault="003B289F" w:rsidP="00825C24">
            <w:pPr>
              <w:rPr>
                <w:rFonts w:cs="Arial"/>
                <w:sz w:val="16"/>
                <w:szCs w:val="16"/>
              </w:rPr>
            </w:pPr>
            <w:r w:rsidRPr="004E000A">
              <w:rPr>
                <w:rFonts w:cs="Arial"/>
                <w:sz w:val="16"/>
                <w:szCs w:val="16"/>
              </w:rPr>
              <w:t>Financial</w:t>
            </w:r>
          </w:p>
          <w:p w:rsidR="003B289F" w:rsidRPr="004E000A" w:rsidRDefault="003B289F" w:rsidP="00825C24">
            <w:pPr>
              <w:rPr>
                <w:rFonts w:cs="Arial"/>
                <w:sz w:val="16"/>
                <w:szCs w:val="16"/>
              </w:rPr>
            </w:pPr>
            <w:r w:rsidRPr="004E000A">
              <w:rPr>
                <w:rFonts w:cs="Arial"/>
                <w:sz w:val="16"/>
                <w:szCs w:val="16"/>
              </w:rPr>
              <w:t xml:space="preserve">Operational </w:t>
            </w:r>
          </w:p>
          <w:p w:rsidR="003B289F" w:rsidRPr="004E000A" w:rsidRDefault="003B289F" w:rsidP="00825C24">
            <w:pPr>
              <w:rPr>
                <w:rFonts w:cs="Arial"/>
                <w:sz w:val="16"/>
                <w:szCs w:val="16"/>
              </w:rPr>
            </w:pPr>
            <w:r w:rsidRPr="004E000A">
              <w:rPr>
                <w:rFonts w:cs="Arial"/>
                <w:sz w:val="16"/>
                <w:szCs w:val="16"/>
              </w:rPr>
              <w:t>Organizational</w:t>
            </w:r>
          </w:p>
          <w:p w:rsidR="003B289F" w:rsidRPr="004E000A" w:rsidRDefault="003B289F" w:rsidP="00825C24">
            <w:pPr>
              <w:rPr>
                <w:rFonts w:cs="Arial"/>
                <w:sz w:val="16"/>
                <w:szCs w:val="16"/>
              </w:rPr>
            </w:pPr>
            <w:r w:rsidRPr="004E000A">
              <w:rPr>
                <w:rFonts w:cs="Arial"/>
                <w:sz w:val="16"/>
                <w:szCs w:val="16"/>
              </w:rPr>
              <w:t>Political</w:t>
            </w:r>
          </w:p>
          <w:p w:rsidR="003B289F" w:rsidRPr="004E000A" w:rsidRDefault="003B289F" w:rsidP="00825C24">
            <w:pPr>
              <w:rPr>
                <w:rFonts w:cs="Arial"/>
                <w:sz w:val="16"/>
                <w:szCs w:val="16"/>
              </w:rPr>
            </w:pPr>
            <w:r w:rsidRPr="004E000A">
              <w:rPr>
                <w:rFonts w:cs="Arial"/>
                <w:sz w:val="16"/>
                <w:szCs w:val="16"/>
              </w:rPr>
              <w:t>Regulatory</w:t>
            </w:r>
          </w:p>
          <w:p w:rsidR="003B289F" w:rsidRPr="004E000A" w:rsidRDefault="003B289F" w:rsidP="00825C24">
            <w:pPr>
              <w:rPr>
                <w:rFonts w:cs="Arial"/>
                <w:sz w:val="16"/>
                <w:szCs w:val="16"/>
              </w:rPr>
            </w:pPr>
            <w:r w:rsidRPr="004E000A">
              <w:rPr>
                <w:rFonts w:cs="Arial"/>
                <w:sz w:val="16"/>
                <w:szCs w:val="16"/>
              </w:rPr>
              <w:t>Strategic</w:t>
            </w:r>
          </w:p>
          <w:p w:rsidR="003B289F" w:rsidRPr="004E000A" w:rsidRDefault="003B289F" w:rsidP="00825C24">
            <w:pPr>
              <w:rPr>
                <w:rFonts w:cs="Arial"/>
                <w:sz w:val="16"/>
                <w:szCs w:val="16"/>
              </w:rPr>
            </w:pPr>
            <w:r w:rsidRPr="004E000A">
              <w:rPr>
                <w:rFonts w:cs="Arial"/>
                <w:sz w:val="16"/>
                <w:szCs w:val="16"/>
              </w:rPr>
              <w:t>Other</w:t>
            </w:r>
          </w:p>
          <w:p w:rsidR="003B289F" w:rsidRPr="004E000A" w:rsidRDefault="003B289F" w:rsidP="00C33409">
            <w:pPr>
              <w:rPr>
                <w:rFonts w:cs="Arial"/>
                <w:sz w:val="16"/>
                <w:szCs w:val="16"/>
              </w:rPr>
            </w:pPr>
          </w:p>
        </w:tc>
        <w:tc>
          <w:tcPr>
            <w:tcW w:w="3510" w:type="dxa"/>
          </w:tcPr>
          <w:p w:rsidR="003B289F" w:rsidRPr="004E000A" w:rsidRDefault="003B289F" w:rsidP="00825C24">
            <w:pPr>
              <w:rPr>
                <w:rFonts w:cs="Arial"/>
                <w:sz w:val="16"/>
                <w:szCs w:val="16"/>
              </w:rPr>
            </w:pPr>
            <w:r w:rsidRPr="004E000A">
              <w:rPr>
                <w:rFonts w:cs="Arial"/>
                <w:sz w:val="16"/>
                <w:szCs w:val="16"/>
              </w:rPr>
              <w:t>Describe the potential effect if this risk were to occur</w:t>
            </w:r>
          </w:p>
          <w:p w:rsidR="003B289F" w:rsidRPr="004E000A" w:rsidRDefault="003B289F" w:rsidP="00825C24">
            <w:pPr>
              <w:rPr>
                <w:rFonts w:cs="Arial"/>
                <w:sz w:val="16"/>
                <w:szCs w:val="16"/>
              </w:rPr>
            </w:pPr>
            <w:r w:rsidRPr="004E000A">
              <w:rPr>
                <w:rFonts w:cs="Arial"/>
                <w:sz w:val="16"/>
                <w:szCs w:val="16"/>
              </w:rPr>
              <w:t xml:space="preserve">Enter probability on a scale from 1 (low) to 5 (high) </w:t>
            </w:r>
          </w:p>
          <w:p w:rsidR="003B289F" w:rsidRPr="004E000A" w:rsidRDefault="003B289F" w:rsidP="00825C24">
            <w:pPr>
              <w:rPr>
                <w:rFonts w:cs="Arial"/>
                <w:sz w:val="16"/>
                <w:szCs w:val="16"/>
              </w:rPr>
            </w:pPr>
            <w:r w:rsidRPr="004E000A">
              <w:rPr>
                <w:rFonts w:cs="Arial"/>
                <w:sz w:val="16"/>
                <w:szCs w:val="16"/>
              </w:rPr>
              <w:t xml:space="preserve">P = </w:t>
            </w:r>
          </w:p>
          <w:p w:rsidR="003B289F" w:rsidRPr="004E000A" w:rsidRDefault="003B289F" w:rsidP="00825C24">
            <w:pPr>
              <w:rPr>
                <w:rFonts w:cs="Arial"/>
                <w:sz w:val="16"/>
                <w:szCs w:val="16"/>
              </w:rPr>
            </w:pPr>
            <w:r w:rsidRPr="004E000A">
              <w:rPr>
                <w:rFonts w:cs="Arial"/>
                <w:sz w:val="16"/>
                <w:szCs w:val="16"/>
              </w:rPr>
              <w:t xml:space="preserve">Enter impact on  a  scale from 1 (low) to 5 (high) </w:t>
            </w:r>
          </w:p>
          <w:p w:rsidR="003B289F" w:rsidRPr="004E000A" w:rsidRDefault="003B289F" w:rsidP="00825C24">
            <w:pPr>
              <w:rPr>
                <w:rFonts w:cs="Arial"/>
                <w:sz w:val="16"/>
                <w:szCs w:val="16"/>
              </w:rPr>
            </w:pPr>
            <w:r w:rsidRPr="004E000A">
              <w:rPr>
                <w:rFonts w:cs="Arial"/>
                <w:sz w:val="16"/>
                <w:szCs w:val="16"/>
              </w:rPr>
              <w:t>I =</w:t>
            </w:r>
          </w:p>
          <w:p w:rsidR="003B289F" w:rsidRPr="004E000A" w:rsidRDefault="003B289F" w:rsidP="00825C24">
            <w:pPr>
              <w:rPr>
                <w:rFonts w:cs="Arial"/>
                <w:sz w:val="16"/>
                <w:szCs w:val="16"/>
              </w:rPr>
            </w:pPr>
            <w:r w:rsidRPr="004E000A">
              <w:rPr>
                <w:rFonts w:cs="Arial"/>
                <w:sz w:val="16"/>
                <w:szCs w:val="16"/>
              </w:rPr>
              <w:t>The “ P x I ” scores help to prioritize the risks (higher the score, higher the priority)</w:t>
            </w:r>
          </w:p>
        </w:tc>
        <w:tc>
          <w:tcPr>
            <w:tcW w:w="2880" w:type="dxa"/>
          </w:tcPr>
          <w:p w:rsidR="003B289F" w:rsidRPr="004E000A" w:rsidRDefault="003B289F" w:rsidP="00825C24">
            <w:pPr>
              <w:rPr>
                <w:rFonts w:cs="Arial"/>
                <w:sz w:val="16"/>
                <w:szCs w:val="16"/>
              </w:rPr>
            </w:pPr>
            <w:r w:rsidRPr="004E000A">
              <w:rPr>
                <w:rFonts w:cs="Arial"/>
                <w:sz w:val="16"/>
                <w:szCs w:val="16"/>
              </w:rPr>
              <w:t>What actions have been taken/will be taken to manage this risk</w:t>
            </w: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sz w:val="16"/>
                <w:szCs w:val="16"/>
              </w:rPr>
            </w:pPr>
          </w:p>
          <w:p w:rsidR="003B289F" w:rsidRPr="004E000A" w:rsidRDefault="003B289F" w:rsidP="00825C24">
            <w:pPr>
              <w:rPr>
                <w:rFonts w:cs="Arial"/>
                <w:i/>
                <w:sz w:val="16"/>
                <w:szCs w:val="16"/>
              </w:rPr>
            </w:pPr>
          </w:p>
        </w:tc>
        <w:tc>
          <w:tcPr>
            <w:tcW w:w="1980" w:type="dxa"/>
          </w:tcPr>
          <w:p w:rsidR="003B289F" w:rsidRPr="004E000A" w:rsidRDefault="003B289F" w:rsidP="00825C24">
            <w:pPr>
              <w:rPr>
                <w:rFonts w:cs="Arial"/>
                <w:sz w:val="16"/>
                <w:szCs w:val="16"/>
              </w:rPr>
            </w:pPr>
            <w:r w:rsidRPr="004E000A">
              <w:rPr>
                <w:rFonts w:cs="Arial"/>
                <w:sz w:val="16"/>
                <w:szCs w:val="16"/>
              </w:rPr>
              <w:t>Who has been appointed to keep an eye on this risk</w:t>
            </w:r>
          </w:p>
          <w:p w:rsidR="003B289F" w:rsidRPr="004E000A" w:rsidRDefault="003B289F" w:rsidP="00825C24">
            <w:pPr>
              <w:rPr>
                <w:rFonts w:cs="Arial"/>
                <w:sz w:val="16"/>
                <w:szCs w:val="16"/>
              </w:rPr>
            </w:pPr>
          </w:p>
          <w:p w:rsidR="003B289F" w:rsidRPr="004E000A" w:rsidRDefault="003B289F" w:rsidP="00825C24">
            <w:pPr>
              <w:rPr>
                <w:rFonts w:cs="Arial"/>
                <w:i/>
                <w:sz w:val="16"/>
                <w:szCs w:val="16"/>
              </w:rPr>
            </w:pPr>
          </w:p>
          <w:p w:rsidR="003B289F" w:rsidRPr="004E000A" w:rsidRDefault="003B289F" w:rsidP="00825C24">
            <w:pPr>
              <w:rPr>
                <w:rFonts w:cs="Arial"/>
                <w:i/>
                <w:sz w:val="16"/>
                <w:szCs w:val="16"/>
              </w:rPr>
            </w:pPr>
          </w:p>
        </w:tc>
      </w:tr>
      <w:tr w:rsidR="003B289F" w:rsidRPr="003C4C9F" w:rsidTr="004E000A">
        <w:tc>
          <w:tcPr>
            <w:tcW w:w="372" w:type="dxa"/>
          </w:tcPr>
          <w:p w:rsidR="003B289F" w:rsidRPr="003C4C9F" w:rsidRDefault="003C4C9F" w:rsidP="00825C24">
            <w:pPr>
              <w:rPr>
                <w:rFonts w:cs="Arial"/>
                <w:sz w:val="20"/>
                <w:szCs w:val="20"/>
              </w:rPr>
            </w:pPr>
            <w:r>
              <w:rPr>
                <w:rFonts w:cs="Arial"/>
                <w:sz w:val="20"/>
                <w:szCs w:val="20"/>
              </w:rPr>
              <w:t>1</w:t>
            </w:r>
          </w:p>
        </w:tc>
        <w:tc>
          <w:tcPr>
            <w:tcW w:w="1800" w:type="dxa"/>
          </w:tcPr>
          <w:p w:rsidR="00BF6AF3" w:rsidRPr="004E000A" w:rsidRDefault="003C4C9F" w:rsidP="00BF6AF3">
            <w:pPr>
              <w:autoSpaceDE w:val="0"/>
              <w:autoSpaceDN w:val="0"/>
              <w:adjustRightInd w:val="0"/>
              <w:spacing w:after="0" w:line="240" w:lineRule="auto"/>
              <w:rPr>
                <w:rFonts w:cs="Cambria"/>
                <w:sz w:val="20"/>
                <w:szCs w:val="20"/>
              </w:rPr>
            </w:pPr>
            <w:r w:rsidRPr="003C4C9F">
              <w:rPr>
                <w:rFonts w:cs="Cambria"/>
                <w:sz w:val="20"/>
                <w:szCs w:val="20"/>
              </w:rPr>
              <w:t xml:space="preserve">Instability and </w:t>
            </w:r>
            <w:r w:rsidR="00BF6AF3" w:rsidRPr="004E000A">
              <w:rPr>
                <w:rFonts w:cs="Cambria"/>
                <w:sz w:val="20"/>
                <w:szCs w:val="20"/>
              </w:rPr>
              <w:t>Increase in</w:t>
            </w:r>
            <w:r w:rsidR="008A4E35">
              <w:rPr>
                <w:rFonts w:cs="Cambria"/>
                <w:sz w:val="20"/>
                <w:szCs w:val="20"/>
              </w:rPr>
              <w:t xml:space="preserve"> country </w:t>
            </w:r>
          </w:p>
          <w:p w:rsidR="00BF6AF3" w:rsidRPr="004E000A" w:rsidRDefault="00BF6AF3" w:rsidP="00BF6AF3">
            <w:pPr>
              <w:autoSpaceDE w:val="0"/>
              <w:autoSpaceDN w:val="0"/>
              <w:adjustRightInd w:val="0"/>
              <w:spacing w:after="0" w:line="240" w:lineRule="auto"/>
              <w:rPr>
                <w:rFonts w:cs="Cambria"/>
                <w:sz w:val="20"/>
                <w:szCs w:val="20"/>
              </w:rPr>
            </w:pPr>
            <w:r w:rsidRPr="004E000A">
              <w:rPr>
                <w:rFonts w:cs="Cambria"/>
                <w:sz w:val="20"/>
                <w:szCs w:val="20"/>
              </w:rPr>
              <w:t>internal political</w:t>
            </w:r>
          </w:p>
          <w:p w:rsidR="003B289F" w:rsidRPr="003C4C9F" w:rsidRDefault="00BF6AF3" w:rsidP="004E000A">
            <w:pPr>
              <w:autoSpaceDE w:val="0"/>
              <w:autoSpaceDN w:val="0"/>
              <w:adjustRightInd w:val="0"/>
              <w:spacing w:after="0" w:line="240" w:lineRule="auto"/>
              <w:rPr>
                <w:rFonts w:cs="Arial"/>
                <w:sz w:val="20"/>
                <w:szCs w:val="20"/>
              </w:rPr>
            </w:pPr>
            <w:r w:rsidRPr="004E000A">
              <w:rPr>
                <w:rFonts w:cs="Cambria"/>
                <w:sz w:val="20"/>
                <w:szCs w:val="20"/>
              </w:rPr>
              <w:t xml:space="preserve">divisions. </w:t>
            </w:r>
          </w:p>
        </w:tc>
        <w:tc>
          <w:tcPr>
            <w:tcW w:w="1260" w:type="dxa"/>
          </w:tcPr>
          <w:p w:rsidR="003B289F" w:rsidRPr="004E000A" w:rsidRDefault="003C4C9F" w:rsidP="00825C24">
            <w:pPr>
              <w:rPr>
                <w:rFonts w:cs="Arial"/>
                <w:sz w:val="20"/>
                <w:szCs w:val="20"/>
              </w:rPr>
            </w:pPr>
            <w:r w:rsidRPr="004E000A">
              <w:rPr>
                <w:rFonts w:cs="Arial"/>
                <w:sz w:val="20"/>
                <w:szCs w:val="20"/>
              </w:rPr>
              <w:t>Sep 15</w:t>
            </w:r>
          </w:p>
        </w:tc>
        <w:tc>
          <w:tcPr>
            <w:tcW w:w="1687" w:type="dxa"/>
          </w:tcPr>
          <w:p w:rsidR="003B289F" w:rsidRPr="003C4C9F" w:rsidRDefault="003C4C9F" w:rsidP="00825C24">
            <w:pPr>
              <w:rPr>
                <w:rFonts w:cs="Arial"/>
                <w:sz w:val="20"/>
                <w:szCs w:val="20"/>
              </w:rPr>
            </w:pPr>
            <w:r w:rsidRPr="003C4C9F">
              <w:rPr>
                <w:rFonts w:cs="Arial"/>
                <w:sz w:val="20"/>
                <w:szCs w:val="20"/>
              </w:rPr>
              <w:t>Political</w:t>
            </w:r>
          </w:p>
        </w:tc>
        <w:tc>
          <w:tcPr>
            <w:tcW w:w="3510" w:type="dxa"/>
          </w:tcPr>
          <w:p w:rsidR="003C4C9F" w:rsidRPr="004E000A" w:rsidRDefault="003C4C9F" w:rsidP="003C4C9F">
            <w:pPr>
              <w:autoSpaceDE w:val="0"/>
              <w:autoSpaceDN w:val="0"/>
              <w:adjustRightInd w:val="0"/>
              <w:spacing w:after="0" w:line="240" w:lineRule="auto"/>
              <w:rPr>
                <w:rFonts w:cs="Cambria"/>
                <w:sz w:val="20"/>
                <w:szCs w:val="20"/>
              </w:rPr>
            </w:pPr>
            <w:r>
              <w:rPr>
                <w:rFonts w:cs="Cambria"/>
                <w:sz w:val="20"/>
                <w:szCs w:val="20"/>
              </w:rPr>
              <w:t xml:space="preserve">Instability and </w:t>
            </w:r>
            <w:r w:rsidRPr="003C4C9F">
              <w:rPr>
                <w:rFonts w:cs="Cambria"/>
                <w:sz w:val="20"/>
                <w:szCs w:val="20"/>
              </w:rPr>
              <w:t>a</w:t>
            </w:r>
            <w:r w:rsidRPr="004E000A">
              <w:rPr>
                <w:rFonts w:cs="Cambria"/>
                <w:sz w:val="20"/>
                <w:szCs w:val="20"/>
              </w:rPr>
              <w:t xml:space="preserve">n increase in </w:t>
            </w:r>
            <w:r w:rsidR="008A4E35">
              <w:rPr>
                <w:rFonts w:cs="Cambria"/>
                <w:sz w:val="20"/>
                <w:szCs w:val="20"/>
              </w:rPr>
              <w:t xml:space="preserve">country </w:t>
            </w:r>
            <w:r w:rsidRPr="004E000A">
              <w:rPr>
                <w:rFonts w:cs="Cambria"/>
                <w:sz w:val="20"/>
                <w:szCs w:val="20"/>
              </w:rPr>
              <w:t>internal</w:t>
            </w:r>
          </w:p>
          <w:p w:rsidR="003C4C9F" w:rsidRPr="004E000A" w:rsidRDefault="003C4C9F" w:rsidP="003C4C9F">
            <w:pPr>
              <w:autoSpaceDE w:val="0"/>
              <w:autoSpaceDN w:val="0"/>
              <w:adjustRightInd w:val="0"/>
              <w:spacing w:after="0" w:line="240" w:lineRule="auto"/>
              <w:rPr>
                <w:rFonts w:cs="Cambria"/>
                <w:sz w:val="20"/>
                <w:szCs w:val="20"/>
              </w:rPr>
            </w:pPr>
            <w:r w:rsidRPr="004E000A">
              <w:rPr>
                <w:rFonts w:cs="Cambria"/>
                <w:sz w:val="20"/>
                <w:szCs w:val="20"/>
              </w:rPr>
              <w:t>political divisions will</w:t>
            </w:r>
          </w:p>
          <w:p w:rsidR="003C4C9F" w:rsidRPr="004E000A" w:rsidRDefault="003C4C9F" w:rsidP="003C4C9F">
            <w:pPr>
              <w:autoSpaceDE w:val="0"/>
              <w:autoSpaceDN w:val="0"/>
              <w:adjustRightInd w:val="0"/>
              <w:spacing w:after="0" w:line="240" w:lineRule="auto"/>
              <w:rPr>
                <w:rFonts w:cs="Cambria"/>
                <w:sz w:val="20"/>
                <w:szCs w:val="20"/>
              </w:rPr>
            </w:pPr>
            <w:r w:rsidRPr="004E000A">
              <w:rPr>
                <w:rFonts w:cs="Cambria"/>
                <w:sz w:val="20"/>
                <w:szCs w:val="20"/>
              </w:rPr>
              <w:t>have detrimental effect</w:t>
            </w:r>
          </w:p>
          <w:p w:rsidR="003B289F" w:rsidRPr="003C4C9F" w:rsidRDefault="003C4C9F" w:rsidP="003C4C9F">
            <w:pPr>
              <w:rPr>
                <w:rFonts w:cs="Arial"/>
                <w:sz w:val="20"/>
                <w:szCs w:val="20"/>
              </w:rPr>
            </w:pPr>
            <w:r w:rsidRPr="004E000A">
              <w:rPr>
                <w:rFonts w:cs="Cambria"/>
                <w:sz w:val="20"/>
                <w:szCs w:val="20"/>
              </w:rPr>
              <w:t>on all activities and interventions</w:t>
            </w:r>
          </w:p>
          <w:p w:rsidR="003B289F" w:rsidRPr="003C4C9F" w:rsidRDefault="003C4C9F" w:rsidP="00825C24">
            <w:pPr>
              <w:rPr>
                <w:rFonts w:cs="Arial"/>
                <w:sz w:val="20"/>
                <w:szCs w:val="20"/>
              </w:rPr>
            </w:pPr>
            <w:r w:rsidRPr="003C4C9F">
              <w:rPr>
                <w:rFonts w:cs="Arial"/>
                <w:sz w:val="20"/>
                <w:szCs w:val="20"/>
              </w:rPr>
              <w:t>P=</w:t>
            </w:r>
            <w:r>
              <w:rPr>
                <w:rFonts w:cs="Arial"/>
                <w:sz w:val="20"/>
                <w:szCs w:val="20"/>
              </w:rPr>
              <w:t xml:space="preserve"> 3</w:t>
            </w:r>
          </w:p>
          <w:p w:rsidR="003C4C9F" w:rsidRPr="003C4C9F" w:rsidRDefault="003C4C9F" w:rsidP="00825C24">
            <w:pPr>
              <w:rPr>
                <w:rFonts w:cs="Arial"/>
                <w:sz w:val="20"/>
                <w:szCs w:val="20"/>
              </w:rPr>
            </w:pPr>
            <w:r w:rsidRPr="003C4C9F">
              <w:rPr>
                <w:rFonts w:cs="Arial"/>
                <w:sz w:val="20"/>
                <w:szCs w:val="20"/>
              </w:rPr>
              <w:t>I=</w:t>
            </w:r>
            <w:r>
              <w:rPr>
                <w:rFonts w:cs="Arial"/>
                <w:sz w:val="20"/>
                <w:szCs w:val="20"/>
              </w:rPr>
              <w:t xml:space="preserve"> 3</w:t>
            </w:r>
          </w:p>
        </w:tc>
        <w:tc>
          <w:tcPr>
            <w:tcW w:w="2880" w:type="dxa"/>
          </w:tcPr>
          <w:p w:rsidR="003B289F" w:rsidRPr="004E000A" w:rsidRDefault="003C4C9F" w:rsidP="00825C24">
            <w:pPr>
              <w:rPr>
                <w:rFonts w:cs="Arial"/>
                <w:sz w:val="20"/>
                <w:szCs w:val="20"/>
              </w:rPr>
            </w:pPr>
            <w:r>
              <w:rPr>
                <w:rFonts w:cs="Arial"/>
                <w:sz w:val="20"/>
                <w:szCs w:val="20"/>
              </w:rPr>
              <w:t>Close monitoring of political situation, ensure spread of activities across different countries</w:t>
            </w:r>
            <w:r w:rsidR="00741E20">
              <w:rPr>
                <w:rFonts w:cs="Arial"/>
                <w:sz w:val="20"/>
                <w:szCs w:val="20"/>
              </w:rPr>
              <w:t xml:space="preserve"> and make adjustments depending on political situation</w:t>
            </w:r>
          </w:p>
        </w:tc>
        <w:tc>
          <w:tcPr>
            <w:tcW w:w="1980" w:type="dxa"/>
          </w:tcPr>
          <w:p w:rsidR="003B289F" w:rsidRPr="004E000A" w:rsidRDefault="003B289F" w:rsidP="00825C24">
            <w:pPr>
              <w:rPr>
                <w:rFonts w:cs="Arial"/>
                <w:sz w:val="20"/>
                <w:szCs w:val="20"/>
              </w:rPr>
            </w:pPr>
            <w:r w:rsidRPr="004E000A">
              <w:rPr>
                <w:rFonts w:cs="Arial"/>
                <w:sz w:val="20"/>
                <w:szCs w:val="20"/>
              </w:rPr>
              <w:t>UNDP</w:t>
            </w:r>
          </w:p>
        </w:tc>
      </w:tr>
      <w:tr w:rsidR="003B289F" w:rsidRPr="003C4C9F" w:rsidTr="004E000A">
        <w:tc>
          <w:tcPr>
            <w:tcW w:w="372" w:type="dxa"/>
          </w:tcPr>
          <w:p w:rsidR="003B289F" w:rsidRPr="003C4C9F" w:rsidRDefault="003C4C9F" w:rsidP="00825C24">
            <w:pPr>
              <w:rPr>
                <w:rFonts w:cs="Arial"/>
                <w:sz w:val="20"/>
                <w:szCs w:val="20"/>
              </w:rPr>
            </w:pPr>
            <w:r>
              <w:rPr>
                <w:rFonts w:cs="Arial"/>
                <w:sz w:val="20"/>
                <w:szCs w:val="20"/>
              </w:rPr>
              <w:t>2</w:t>
            </w:r>
          </w:p>
        </w:tc>
        <w:tc>
          <w:tcPr>
            <w:tcW w:w="1800" w:type="dxa"/>
          </w:tcPr>
          <w:p w:rsidR="003B289F" w:rsidRPr="007C702B" w:rsidRDefault="003C4C9F" w:rsidP="00825C24">
            <w:pPr>
              <w:rPr>
                <w:rFonts w:cs="Arial"/>
                <w:sz w:val="20"/>
                <w:szCs w:val="20"/>
              </w:rPr>
            </w:pPr>
            <w:r w:rsidRPr="00C8761F">
              <w:rPr>
                <w:rFonts w:cs="Arial"/>
                <w:sz w:val="20"/>
                <w:szCs w:val="20"/>
              </w:rPr>
              <w:t>Lack of continuity of key stakeho</w:t>
            </w:r>
            <w:r w:rsidRPr="007C702B">
              <w:rPr>
                <w:rFonts w:cs="Arial"/>
                <w:sz w:val="20"/>
                <w:szCs w:val="20"/>
              </w:rPr>
              <w:t>lders and champions</w:t>
            </w:r>
          </w:p>
        </w:tc>
        <w:tc>
          <w:tcPr>
            <w:tcW w:w="1260" w:type="dxa"/>
          </w:tcPr>
          <w:p w:rsidR="003B289F" w:rsidRPr="004E000A" w:rsidRDefault="003C4C9F" w:rsidP="00825C24">
            <w:pPr>
              <w:rPr>
                <w:rFonts w:cs="Arial"/>
                <w:sz w:val="20"/>
                <w:szCs w:val="20"/>
              </w:rPr>
            </w:pPr>
            <w:r w:rsidRPr="004E000A">
              <w:rPr>
                <w:rFonts w:cs="Arial"/>
                <w:sz w:val="20"/>
                <w:szCs w:val="20"/>
              </w:rPr>
              <w:t>Sep 15</w:t>
            </w:r>
          </w:p>
        </w:tc>
        <w:tc>
          <w:tcPr>
            <w:tcW w:w="1687" w:type="dxa"/>
          </w:tcPr>
          <w:p w:rsidR="003B289F" w:rsidRPr="003C4C9F" w:rsidRDefault="003C4C9F" w:rsidP="00825C24">
            <w:pPr>
              <w:rPr>
                <w:rFonts w:cs="Arial"/>
                <w:sz w:val="20"/>
                <w:szCs w:val="20"/>
              </w:rPr>
            </w:pPr>
            <w:r w:rsidRPr="003C4C9F">
              <w:rPr>
                <w:rFonts w:cs="Arial"/>
                <w:sz w:val="20"/>
                <w:szCs w:val="20"/>
              </w:rPr>
              <w:t>Political</w:t>
            </w:r>
          </w:p>
        </w:tc>
        <w:tc>
          <w:tcPr>
            <w:tcW w:w="3510" w:type="dxa"/>
          </w:tcPr>
          <w:p w:rsidR="003B289F" w:rsidRDefault="003C4C9F" w:rsidP="00825C24">
            <w:pPr>
              <w:rPr>
                <w:rFonts w:cs="Arial"/>
                <w:sz w:val="20"/>
                <w:szCs w:val="20"/>
              </w:rPr>
            </w:pPr>
            <w:r>
              <w:rPr>
                <w:rFonts w:cs="Arial"/>
                <w:sz w:val="20"/>
                <w:szCs w:val="20"/>
              </w:rPr>
              <w:t xml:space="preserve">Lack of continuity of key stakeholders and champions will delay project implementation </w:t>
            </w:r>
          </w:p>
          <w:p w:rsidR="003C4C9F" w:rsidRDefault="003C4C9F" w:rsidP="00825C24">
            <w:pPr>
              <w:rPr>
                <w:rFonts w:cs="Arial"/>
                <w:sz w:val="20"/>
                <w:szCs w:val="20"/>
              </w:rPr>
            </w:pPr>
            <w:r>
              <w:rPr>
                <w:rFonts w:cs="Arial"/>
                <w:sz w:val="20"/>
                <w:szCs w:val="20"/>
              </w:rPr>
              <w:t>P= 3</w:t>
            </w:r>
          </w:p>
          <w:p w:rsidR="003C4C9F" w:rsidRPr="003C4C9F" w:rsidRDefault="003C4C9F" w:rsidP="00825C24">
            <w:pPr>
              <w:rPr>
                <w:rFonts w:cs="Arial"/>
                <w:sz w:val="20"/>
                <w:szCs w:val="20"/>
              </w:rPr>
            </w:pPr>
            <w:r>
              <w:rPr>
                <w:rFonts w:cs="Arial"/>
                <w:sz w:val="20"/>
                <w:szCs w:val="20"/>
              </w:rPr>
              <w:t>I= 3</w:t>
            </w:r>
          </w:p>
        </w:tc>
        <w:tc>
          <w:tcPr>
            <w:tcW w:w="2880" w:type="dxa"/>
          </w:tcPr>
          <w:p w:rsidR="003B289F" w:rsidRPr="004E000A" w:rsidRDefault="003C4C9F" w:rsidP="00825C24">
            <w:pPr>
              <w:rPr>
                <w:rFonts w:cs="Arial"/>
                <w:sz w:val="20"/>
                <w:szCs w:val="20"/>
              </w:rPr>
            </w:pPr>
            <w:r>
              <w:rPr>
                <w:rFonts w:cs="Arial"/>
                <w:sz w:val="20"/>
                <w:szCs w:val="20"/>
              </w:rPr>
              <w:t>Build a wide and broad range of stakeholders and champions</w:t>
            </w:r>
          </w:p>
        </w:tc>
        <w:tc>
          <w:tcPr>
            <w:tcW w:w="1980" w:type="dxa"/>
          </w:tcPr>
          <w:p w:rsidR="003B289F" w:rsidRPr="004E000A" w:rsidRDefault="003C4C9F" w:rsidP="00825C24">
            <w:pPr>
              <w:rPr>
                <w:rFonts w:cs="Arial"/>
                <w:sz w:val="20"/>
                <w:szCs w:val="20"/>
              </w:rPr>
            </w:pPr>
            <w:r>
              <w:rPr>
                <w:rFonts w:cs="Arial"/>
                <w:sz w:val="20"/>
                <w:szCs w:val="20"/>
              </w:rPr>
              <w:t>UNDP</w:t>
            </w:r>
          </w:p>
        </w:tc>
      </w:tr>
      <w:tr w:rsidR="008A4E35" w:rsidRPr="003C4C9F" w:rsidTr="003B289F">
        <w:tc>
          <w:tcPr>
            <w:tcW w:w="372" w:type="dxa"/>
          </w:tcPr>
          <w:p w:rsidR="008A4E35" w:rsidRPr="003C4C9F" w:rsidRDefault="008A4E35" w:rsidP="00825C24">
            <w:pPr>
              <w:rPr>
                <w:rFonts w:cs="Arial"/>
                <w:sz w:val="20"/>
                <w:szCs w:val="20"/>
              </w:rPr>
            </w:pPr>
            <w:r>
              <w:rPr>
                <w:rFonts w:cs="Arial"/>
                <w:sz w:val="20"/>
                <w:szCs w:val="20"/>
              </w:rPr>
              <w:t>3</w:t>
            </w:r>
          </w:p>
        </w:tc>
        <w:tc>
          <w:tcPr>
            <w:tcW w:w="1800" w:type="dxa"/>
          </w:tcPr>
          <w:p w:rsidR="008A4E35" w:rsidRPr="008A4E35" w:rsidRDefault="008A4E35" w:rsidP="00825C24">
            <w:pPr>
              <w:rPr>
                <w:rFonts w:cs="Arial"/>
                <w:sz w:val="20"/>
                <w:szCs w:val="20"/>
              </w:rPr>
            </w:pPr>
            <w:r>
              <w:rPr>
                <w:rFonts w:cs="Arial"/>
                <w:sz w:val="20"/>
                <w:szCs w:val="20"/>
              </w:rPr>
              <w:t>Limited commitment and engagement  by key stakeholders for accountable and inclusive institutions</w:t>
            </w:r>
          </w:p>
        </w:tc>
        <w:tc>
          <w:tcPr>
            <w:tcW w:w="1260" w:type="dxa"/>
          </w:tcPr>
          <w:p w:rsidR="008A4E35" w:rsidRPr="008A4E35" w:rsidRDefault="008A4E35" w:rsidP="00825C24">
            <w:pPr>
              <w:rPr>
                <w:rFonts w:cs="Arial"/>
                <w:sz w:val="20"/>
                <w:szCs w:val="20"/>
              </w:rPr>
            </w:pPr>
            <w:r>
              <w:rPr>
                <w:rFonts w:cs="Arial"/>
                <w:sz w:val="20"/>
                <w:szCs w:val="20"/>
              </w:rPr>
              <w:t>Sep 15</w:t>
            </w:r>
          </w:p>
        </w:tc>
        <w:tc>
          <w:tcPr>
            <w:tcW w:w="1687" w:type="dxa"/>
          </w:tcPr>
          <w:p w:rsidR="008A4E35" w:rsidRPr="003C4C9F" w:rsidRDefault="008A4E35" w:rsidP="003C4C9F">
            <w:pPr>
              <w:rPr>
                <w:rFonts w:cs="Arial"/>
                <w:sz w:val="20"/>
                <w:szCs w:val="20"/>
              </w:rPr>
            </w:pPr>
            <w:r>
              <w:rPr>
                <w:rFonts w:cs="Arial"/>
                <w:sz w:val="20"/>
                <w:szCs w:val="20"/>
              </w:rPr>
              <w:t>Political</w:t>
            </w:r>
          </w:p>
        </w:tc>
        <w:tc>
          <w:tcPr>
            <w:tcW w:w="3510" w:type="dxa"/>
          </w:tcPr>
          <w:p w:rsidR="008A4E35" w:rsidRPr="00CA4D69" w:rsidRDefault="001A012E" w:rsidP="001A012E">
            <w:pPr>
              <w:autoSpaceDE w:val="0"/>
              <w:autoSpaceDN w:val="0"/>
              <w:adjustRightInd w:val="0"/>
              <w:spacing w:after="0" w:line="240" w:lineRule="auto"/>
              <w:rPr>
                <w:rFonts w:cs="Cambria"/>
                <w:sz w:val="20"/>
                <w:szCs w:val="20"/>
              </w:rPr>
            </w:pPr>
            <w:r>
              <w:rPr>
                <w:rFonts w:cs="Cambria"/>
                <w:sz w:val="20"/>
                <w:szCs w:val="20"/>
              </w:rPr>
              <w:t xml:space="preserve">Limited genuine commitment by key stakeholders to the principles of security sector governance and the requisite changes </w:t>
            </w:r>
            <w:r w:rsidR="008A4E35" w:rsidRPr="00CA4D69">
              <w:rPr>
                <w:rFonts w:cs="Cambria"/>
                <w:sz w:val="20"/>
                <w:szCs w:val="20"/>
              </w:rPr>
              <w:t>will</w:t>
            </w:r>
          </w:p>
          <w:p w:rsidR="008A4E35" w:rsidRPr="00CA4D69" w:rsidRDefault="008A4E35" w:rsidP="008A4E35">
            <w:pPr>
              <w:autoSpaceDE w:val="0"/>
              <w:autoSpaceDN w:val="0"/>
              <w:adjustRightInd w:val="0"/>
              <w:spacing w:after="0" w:line="240" w:lineRule="auto"/>
              <w:rPr>
                <w:rFonts w:cs="Cambria"/>
                <w:sz w:val="20"/>
                <w:szCs w:val="20"/>
              </w:rPr>
            </w:pPr>
            <w:r w:rsidRPr="00CA4D69">
              <w:rPr>
                <w:rFonts w:cs="Cambria"/>
                <w:sz w:val="20"/>
                <w:szCs w:val="20"/>
              </w:rPr>
              <w:t>have detrimental effect</w:t>
            </w:r>
          </w:p>
          <w:p w:rsidR="008A4E35" w:rsidRPr="003C4C9F" w:rsidRDefault="008A4E35" w:rsidP="008A4E35">
            <w:pPr>
              <w:rPr>
                <w:rFonts w:cs="Arial"/>
                <w:sz w:val="20"/>
                <w:szCs w:val="20"/>
              </w:rPr>
            </w:pPr>
            <w:r w:rsidRPr="00CA4D69">
              <w:rPr>
                <w:rFonts w:cs="Cambria"/>
                <w:sz w:val="20"/>
                <w:szCs w:val="20"/>
              </w:rPr>
              <w:t>on all activities and interventions</w:t>
            </w:r>
          </w:p>
          <w:p w:rsidR="008A4E35" w:rsidRPr="003C4C9F" w:rsidRDefault="008A4E35" w:rsidP="008A4E35">
            <w:pPr>
              <w:rPr>
                <w:rFonts w:cs="Arial"/>
                <w:sz w:val="20"/>
                <w:szCs w:val="20"/>
              </w:rPr>
            </w:pPr>
            <w:r w:rsidRPr="003C4C9F">
              <w:rPr>
                <w:rFonts w:cs="Arial"/>
                <w:sz w:val="20"/>
                <w:szCs w:val="20"/>
              </w:rPr>
              <w:t>P=</w:t>
            </w:r>
            <w:r>
              <w:rPr>
                <w:rFonts w:cs="Arial"/>
                <w:sz w:val="20"/>
                <w:szCs w:val="20"/>
              </w:rPr>
              <w:t xml:space="preserve"> 3</w:t>
            </w:r>
          </w:p>
          <w:p w:rsidR="008A4E35" w:rsidRDefault="008A4E35" w:rsidP="008A4E35">
            <w:pPr>
              <w:autoSpaceDE w:val="0"/>
              <w:autoSpaceDN w:val="0"/>
              <w:adjustRightInd w:val="0"/>
              <w:spacing w:after="0" w:line="240" w:lineRule="auto"/>
              <w:rPr>
                <w:rFonts w:cs="Cambria"/>
                <w:sz w:val="20"/>
                <w:szCs w:val="20"/>
              </w:rPr>
            </w:pPr>
            <w:r w:rsidRPr="003C4C9F">
              <w:rPr>
                <w:rFonts w:cs="Arial"/>
                <w:sz w:val="20"/>
                <w:szCs w:val="20"/>
              </w:rPr>
              <w:t>I=</w:t>
            </w:r>
            <w:r>
              <w:rPr>
                <w:rFonts w:cs="Arial"/>
                <w:sz w:val="20"/>
                <w:szCs w:val="20"/>
              </w:rPr>
              <w:t xml:space="preserve"> 3</w:t>
            </w:r>
          </w:p>
        </w:tc>
        <w:tc>
          <w:tcPr>
            <w:tcW w:w="2880" w:type="dxa"/>
          </w:tcPr>
          <w:p w:rsidR="008A4E35" w:rsidRPr="008A4E35" w:rsidRDefault="001A012E" w:rsidP="00825C24">
            <w:pPr>
              <w:rPr>
                <w:rFonts w:cs="Arial"/>
                <w:sz w:val="20"/>
                <w:szCs w:val="20"/>
              </w:rPr>
            </w:pPr>
            <w:r>
              <w:rPr>
                <w:rFonts w:cs="Arial"/>
                <w:sz w:val="20"/>
                <w:szCs w:val="20"/>
              </w:rPr>
              <w:t>Through ongoing dialogue and increase in awareness of the links of enhanced security sector governance to sustainable development create momentum for change</w:t>
            </w:r>
            <w:r w:rsidR="00741E20">
              <w:rPr>
                <w:rFonts w:cs="Arial"/>
                <w:sz w:val="20"/>
                <w:szCs w:val="20"/>
              </w:rPr>
              <w:t xml:space="preserve"> and look to develop champions of change</w:t>
            </w:r>
          </w:p>
        </w:tc>
        <w:tc>
          <w:tcPr>
            <w:tcW w:w="1980" w:type="dxa"/>
          </w:tcPr>
          <w:p w:rsidR="008A4E35" w:rsidRPr="008A4E35" w:rsidRDefault="008A4E35" w:rsidP="00825C24">
            <w:pPr>
              <w:rPr>
                <w:rFonts w:cs="Arial"/>
                <w:sz w:val="20"/>
                <w:szCs w:val="20"/>
              </w:rPr>
            </w:pPr>
            <w:r>
              <w:rPr>
                <w:rFonts w:cs="Arial"/>
                <w:sz w:val="20"/>
                <w:szCs w:val="20"/>
              </w:rPr>
              <w:t>UNDP</w:t>
            </w:r>
          </w:p>
        </w:tc>
      </w:tr>
      <w:tr w:rsidR="003C4C9F" w:rsidRPr="003C4C9F" w:rsidTr="003B289F">
        <w:tc>
          <w:tcPr>
            <w:tcW w:w="372" w:type="dxa"/>
          </w:tcPr>
          <w:p w:rsidR="003C4C9F" w:rsidRPr="00B65DFB" w:rsidRDefault="008A4E35" w:rsidP="00825C24">
            <w:pPr>
              <w:rPr>
                <w:rFonts w:cs="Arial"/>
                <w:sz w:val="20"/>
                <w:szCs w:val="20"/>
              </w:rPr>
            </w:pPr>
            <w:r>
              <w:rPr>
                <w:rFonts w:cs="Arial"/>
                <w:sz w:val="20"/>
                <w:szCs w:val="20"/>
              </w:rPr>
              <w:t>4</w:t>
            </w:r>
          </w:p>
        </w:tc>
        <w:tc>
          <w:tcPr>
            <w:tcW w:w="1800" w:type="dxa"/>
          </w:tcPr>
          <w:p w:rsidR="003C4C9F" w:rsidRPr="001A012E" w:rsidRDefault="001A012E" w:rsidP="00825C24">
            <w:pPr>
              <w:rPr>
                <w:rFonts w:cs="Arial"/>
                <w:sz w:val="20"/>
                <w:szCs w:val="20"/>
              </w:rPr>
            </w:pPr>
            <w:r>
              <w:rPr>
                <w:rFonts w:cs="Arial"/>
                <w:sz w:val="20"/>
                <w:szCs w:val="20"/>
              </w:rPr>
              <w:t>Impact of n</w:t>
            </w:r>
            <w:r w:rsidR="003C4C9F" w:rsidRPr="001A012E">
              <w:rPr>
                <w:rFonts w:cs="Arial"/>
                <w:sz w:val="20"/>
                <w:szCs w:val="20"/>
              </w:rPr>
              <w:t xml:space="preserve">atural disaster </w:t>
            </w:r>
          </w:p>
        </w:tc>
        <w:tc>
          <w:tcPr>
            <w:tcW w:w="1260" w:type="dxa"/>
          </w:tcPr>
          <w:p w:rsidR="003C4C9F" w:rsidRPr="004E000A" w:rsidRDefault="003C4C9F" w:rsidP="00825C24">
            <w:pPr>
              <w:rPr>
                <w:rFonts w:cs="Arial"/>
                <w:sz w:val="20"/>
                <w:szCs w:val="20"/>
              </w:rPr>
            </w:pPr>
            <w:r w:rsidRPr="004E000A">
              <w:rPr>
                <w:rFonts w:cs="Arial"/>
                <w:sz w:val="20"/>
                <w:szCs w:val="20"/>
              </w:rPr>
              <w:t>Sep 15</w:t>
            </w:r>
          </w:p>
        </w:tc>
        <w:tc>
          <w:tcPr>
            <w:tcW w:w="1687" w:type="dxa"/>
          </w:tcPr>
          <w:p w:rsidR="003C4C9F" w:rsidRPr="003C4C9F" w:rsidRDefault="003C4C9F" w:rsidP="003C4C9F">
            <w:pPr>
              <w:rPr>
                <w:rFonts w:cs="Arial"/>
                <w:sz w:val="20"/>
                <w:szCs w:val="20"/>
              </w:rPr>
            </w:pPr>
            <w:r w:rsidRPr="003C4C9F">
              <w:rPr>
                <w:rFonts w:cs="Arial"/>
                <w:sz w:val="20"/>
                <w:szCs w:val="20"/>
              </w:rPr>
              <w:t>Environmental</w:t>
            </w:r>
          </w:p>
          <w:p w:rsidR="003C4C9F" w:rsidRPr="008A4E35" w:rsidRDefault="003C4C9F" w:rsidP="003C4C9F">
            <w:pPr>
              <w:rPr>
                <w:rFonts w:cs="Arial"/>
                <w:sz w:val="20"/>
                <w:szCs w:val="20"/>
              </w:rPr>
            </w:pPr>
          </w:p>
        </w:tc>
        <w:tc>
          <w:tcPr>
            <w:tcW w:w="3510" w:type="dxa"/>
          </w:tcPr>
          <w:p w:rsidR="008A4E35" w:rsidRDefault="001A012E" w:rsidP="004E000A">
            <w:pPr>
              <w:autoSpaceDE w:val="0"/>
              <w:autoSpaceDN w:val="0"/>
              <w:adjustRightInd w:val="0"/>
              <w:spacing w:after="0" w:line="240" w:lineRule="auto"/>
              <w:rPr>
                <w:rFonts w:cs="Cambria"/>
                <w:sz w:val="20"/>
                <w:szCs w:val="20"/>
              </w:rPr>
            </w:pPr>
            <w:r>
              <w:rPr>
                <w:rFonts w:cs="Cambria"/>
                <w:sz w:val="20"/>
                <w:szCs w:val="20"/>
              </w:rPr>
              <w:t>Reponses to and impact of natural disasters require the full focus and diversion of all resources (both Country resources and UNDP internal resources) away from all other activities</w:t>
            </w:r>
          </w:p>
          <w:p w:rsidR="001A012E" w:rsidRPr="003C4C9F" w:rsidRDefault="001A012E" w:rsidP="004E000A">
            <w:pPr>
              <w:autoSpaceDE w:val="0"/>
              <w:autoSpaceDN w:val="0"/>
              <w:adjustRightInd w:val="0"/>
              <w:spacing w:after="0" w:line="240" w:lineRule="auto"/>
              <w:rPr>
                <w:rFonts w:cs="Arial"/>
                <w:sz w:val="20"/>
                <w:szCs w:val="20"/>
              </w:rPr>
            </w:pPr>
          </w:p>
          <w:p w:rsidR="008A4E35" w:rsidRPr="003C4C9F" w:rsidRDefault="008A4E35" w:rsidP="008A4E35">
            <w:pPr>
              <w:rPr>
                <w:rFonts w:cs="Arial"/>
                <w:sz w:val="20"/>
                <w:szCs w:val="20"/>
              </w:rPr>
            </w:pPr>
            <w:r w:rsidRPr="003C4C9F">
              <w:rPr>
                <w:rFonts w:cs="Arial"/>
                <w:sz w:val="20"/>
                <w:szCs w:val="20"/>
              </w:rPr>
              <w:t>P=</w:t>
            </w:r>
            <w:r>
              <w:rPr>
                <w:rFonts w:cs="Arial"/>
                <w:sz w:val="20"/>
                <w:szCs w:val="20"/>
              </w:rPr>
              <w:t xml:space="preserve"> 3</w:t>
            </w:r>
          </w:p>
          <w:p w:rsidR="003C4C9F" w:rsidRPr="008A4E35" w:rsidRDefault="008A4E35" w:rsidP="008A4E35">
            <w:pPr>
              <w:rPr>
                <w:rFonts w:cs="Arial"/>
                <w:sz w:val="20"/>
                <w:szCs w:val="20"/>
              </w:rPr>
            </w:pPr>
            <w:r w:rsidRPr="003C4C9F">
              <w:rPr>
                <w:rFonts w:cs="Arial"/>
                <w:sz w:val="20"/>
                <w:szCs w:val="20"/>
              </w:rPr>
              <w:t>I=</w:t>
            </w:r>
            <w:r>
              <w:rPr>
                <w:rFonts w:cs="Arial"/>
                <w:sz w:val="20"/>
                <w:szCs w:val="20"/>
              </w:rPr>
              <w:t xml:space="preserve"> 3</w:t>
            </w:r>
          </w:p>
        </w:tc>
        <w:tc>
          <w:tcPr>
            <w:tcW w:w="2880" w:type="dxa"/>
          </w:tcPr>
          <w:p w:rsidR="003C4C9F" w:rsidRPr="004E000A" w:rsidRDefault="003C4C9F" w:rsidP="00825C24">
            <w:pPr>
              <w:rPr>
                <w:rFonts w:cs="Arial"/>
                <w:sz w:val="20"/>
                <w:szCs w:val="20"/>
              </w:rPr>
            </w:pPr>
            <w:r w:rsidRPr="004E000A">
              <w:rPr>
                <w:rFonts w:cs="Arial"/>
                <w:sz w:val="20"/>
                <w:szCs w:val="20"/>
              </w:rPr>
              <w:t>Ensure overall UNDP has capaci</w:t>
            </w:r>
            <w:r w:rsidR="008A4E35" w:rsidRPr="008A4E35">
              <w:rPr>
                <w:rFonts w:cs="Arial"/>
                <w:sz w:val="20"/>
                <w:szCs w:val="20"/>
              </w:rPr>
              <w:t>ties to respond</w:t>
            </w:r>
            <w:r w:rsidRPr="004E000A">
              <w:rPr>
                <w:rFonts w:cs="Arial"/>
                <w:sz w:val="20"/>
                <w:szCs w:val="20"/>
              </w:rPr>
              <w:t xml:space="preserve"> to support requests following natural d</w:t>
            </w:r>
            <w:r w:rsidR="00B65DFB" w:rsidRPr="00B65DFB">
              <w:rPr>
                <w:rFonts w:cs="Arial"/>
                <w:sz w:val="20"/>
                <w:szCs w:val="20"/>
              </w:rPr>
              <w:t>isasters, and ensure geographic</w:t>
            </w:r>
            <w:r w:rsidRPr="004E000A">
              <w:rPr>
                <w:rFonts w:cs="Arial"/>
                <w:sz w:val="20"/>
                <w:szCs w:val="20"/>
              </w:rPr>
              <w:t xml:space="preserve"> spread of project activitie</w:t>
            </w:r>
            <w:r w:rsidR="00741E20">
              <w:rPr>
                <w:rFonts w:cs="Arial"/>
                <w:sz w:val="20"/>
                <w:szCs w:val="20"/>
              </w:rPr>
              <w:t>s, ensure spread of project activities throughout 2016</w:t>
            </w:r>
          </w:p>
        </w:tc>
        <w:tc>
          <w:tcPr>
            <w:tcW w:w="1980" w:type="dxa"/>
          </w:tcPr>
          <w:p w:rsidR="003C4C9F" w:rsidRPr="004E000A" w:rsidRDefault="003C4C9F" w:rsidP="00825C24">
            <w:pPr>
              <w:rPr>
                <w:rFonts w:cs="Arial"/>
                <w:sz w:val="20"/>
                <w:szCs w:val="20"/>
              </w:rPr>
            </w:pPr>
            <w:r w:rsidRPr="004E000A">
              <w:rPr>
                <w:rFonts w:cs="Arial"/>
                <w:sz w:val="20"/>
                <w:szCs w:val="20"/>
              </w:rPr>
              <w:t>UNDP</w:t>
            </w:r>
          </w:p>
        </w:tc>
      </w:tr>
      <w:tr w:rsidR="003B289F" w:rsidRPr="003C4C9F" w:rsidTr="004E000A">
        <w:tc>
          <w:tcPr>
            <w:tcW w:w="372" w:type="dxa"/>
          </w:tcPr>
          <w:p w:rsidR="003B289F" w:rsidRPr="003C4C9F" w:rsidRDefault="008A4E35" w:rsidP="00825C24">
            <w:pPr>
              <w:rPr>
                <w:rFonts w:cs="Arial"/>
                <w:sz w:val="20"/>
                <w:szCs w:val="20"/>
              </w:rPr>
            </w:pPr>
            <w:r>
              <w:rPr>
                <w:rFonts w:cs="Arial"/>
                <w:sz w:val="20"/>
                <w:szCs w:val="20"/>
              </w:rPr>
              <w:t>5</w:t>
            </w:r>
          </w:p>
        </w:tc>
        <w:tc>
          <w:tcPr>
            <w:tcW w:w="1800" w:type="dxa"/>
          </w:tcPr>
          <w:p w:rsidR="003B289F" w:rsidRPr="00B65DFB" w:rsidRDefault="00B65DFB" w:rsidP="00825C24">
            <w:pPr>
              <w:rPr>
                <w:rFonts w:cs="Arial"/>
                <w:sz w:val="20"/>
                <w:szCs w:val="20"/>
              </w:rPr>
            </w:pPr>
            <w:r>
              <w:rPr>
                <w:rFonts w:cs="Arial"/>
                <w:sz w:val="20"/>
                <w:szCs w:val="20"/>
              </w:rPr>
              <w:t xml:space="preserve">Lack of funding for Phase 2 of Project </w:t>
            </w:r>
          </w:p>
        </w:tc>
        <w:tc>
          <w:tcPr>
            <w:tcW w:w="1260" w:type="dxa"/>
          </w:tcPr>
          <w:p w:rsidR="003B289F" w:rsidRPr="004E000A" w:rsidRDefault="00B65DFB" w:rsidP="00825C24">
            <w:pPr>
              <w:rPr>
                <w:rFonts w:cs="Arial"/>
                <w:sz w:val="20"/>
                <w:szCs w:val="20"/>
              </w:rPr>
            </w:pPr>
            <w:r>
              <w:rPr>
                <w:rFonts w:cs="Arial"/>
                <w:sz w:val="20"/>
                <w:szCs w:val="20"/>
              </w:rPr>
              <w:t>Sep 15</w:t>
            </w:r>
          </w:p>
        </w:tc>
        <w:tc>
          <w:tcPr>
            <w:tcW w:w="1687" w:type="dxa"/>
          </w:tcPr>
          <w:p w:rsidR="003C4C9F" w:rsidRPr="003C4C9F" w:rsidRDefault="008A4E35" w:rsidP="003C4C9F">
            <w:pPr>
              <w:rPr>
                <w:rFonts w:cs="Arial"/>
                <w:sz w:val="20"/>
                <w:szCs w:val="20"/>
              </w:rPr>
            </w:pPr>
            <w:r>
              <w:rPr>
                <w:rFonts w:cs="Arial"/>
                <w:sz w:val="20"/>
                <w:szCs w:val="20"/>
              </w:rPr>
              <w:t xml:space="preserve">Financial / </w:t>
            </w:r>
            <w:r w:rsidR="003C4C9F" w:rsidRPr="003C4C9F">
              <w:rPr>
                <w:rFonts w:cs="Arial"/>
                <w:sz w:val="20"/>
                <w:szCs w:val="20"/>
              </w:rPr>
              <w:t>Organizational</w:t>
            </w:r>
          </w:p>
          <w:p w:rsidR="003B289F" w:rsidRPr="008A4E35" w:rsidRDefault="003B289F" w:rsidP="00825C24">
            <w:pPr>
              <w:rPr>
                <w:rFonts w:cs="Arial"/>
                <w:sz w:val="20"/>
                <w:szCs w:val="20"/>
              </w:rPr>
            </w:pPr>
          </w:p>
        </w:tc>
        <w:tc>
          <w:tcPr>
            <w:tcW w:w="3510" w:type="dxa"/>
          </w:tcPr>
          <w:p w:rsidR="008A4E35" w:rsidRPr="00CA4D69" w:rsidRDefault="008A4E35" w:rsidP="008A4E35">
            <w:pPr>
              <w:autoSpaceDE w:val="0"/>
              <w:autoSpaceDN w:val="0"/>
              <w:adjustRightInd w:val="0"/>
              <w:spacing w:after="0" w:line="240" w:lineRule="auto"/>
              <w:rPr>
                <w:rFonts w:cs="Cambria"/>
                <w:sz w:val="20"/>
                <w:szCs w:val="20"/>
              </w:rPr>
            </w:pPr>
            <w:r>
              <w:rPr>
                <w:rFonts w:cs="Cambria"/>
                <w:sz w:val="20"/>
                <w:szCs w:val="20"/>
              </w:rPr>
              <w:t xml:space="preserve">Instability and </w:t>
            </w:r>
            <w:r w:rsidRPr="003C4C9F">
              <w:rPr>
                <w:rFonts w:cs="Cambria"/>
                <w:sz w:val="20"/>
                <w:szCs w:val="20"/>
              </w:rPr>
              <w:t>a</w:t>
            </w:r>
            <w:r w:rsidRPr="00CA4D69">
              <w:rPr>
                <w:rFonts w:cs="Cambria"/>
                <w:sz w:val="20"/>
                <w:szCs w:val="20"/>
              </w:rPr>
              <w:t>n increase in internal</w:t>
            </w:r>
          </w:p>
          <w:p w:rsidR="008A4E35" w:rsidRPr="00CA4D69" w:rsidRDefault="008A4E35" w:rsidP="008A4E35">
            <w:pPr>
              <w:autoSpaceDE w:val="0"/>
              <w:autoSpaceDN w:val="0"/>
              <w:adjustRightInd w:val="0"/>
              <w:spacing w:after="0" w:line="240" w:lineRule="auto"/>
              <w:rPr>
                <w:rFonts w:cs="Cambria"/>
                <w:sz w:val="20"/>
                <w:szCs w:val="20"/>
              </w:rPr>
            </w:pPr>
            <w:r w:rsidRPr="00CA4D69">
              <w:rPr>
                <w:rFonts w:cs="Cambria"/>
                <w:sz w:val="20"/>
                <w:szCs w:val="20"/>
              </w:rPr>
              <w:t>political divisions will</w:t>
            </w:r>
          </w:p>
          <w:p w:rsidR="008A4E35" w:rsidRPr="00CA4D69" w:rsidRDefault="008A4E35" w:rsidP="008A4E35">
            <w:pPr>
              <w:autoSpaceDE w:val="0"/>
              <w:autoSpaceDN w:val="0"/>
              <w:adjustRightInd w:val="0"/>
              <w:spacing w:after="0" w:line="240" w:lineRule="auto"/>
              <w:rPr>
                <w:rFonts w:cs="Cambria"/>
                <w:sz w:val="20"/>
                <w:szCs w:val="20"/>
              </w:rPr>
            </w:pPr>
            <w:r w:rsidRPr="00CA4D69">
              <w:rPr>
                <w:rFonts w:cs="Cambria"/>
                <w:sz w:val="20"/>
                <w:szCs w:val="20"/>
              </w:rPr>
              <w:t>have detrimental effect</w:t>
            </w:r>
          </w:p>
          <w:p w:rsidR="008A4E35" w:rsidRPr="003C4C9F" w:rsidRDefault="008A4E35" w:rsidP="008A4E35">
            <w:pPr>
              <w:rPr>
                <w:rFonts w:cs="Arial"/>
                <w:sz w:val="20"/>
                <w:szCs w:val="20"/>
              </w:rPr>
            </w:pPr>
            <w:r w:rsidRPr="00CA4D69">
              <w:rPr>
                <w:rFonts w:cs="Cambria"/>
                <w:sz w:val="20"/>
                <w:szCs w:val="20"/>
              </w:rPr>
              <w:t>on all activities and interventions</w:t>
            </w:r>
          </w:p>
          <w:p w:rsidR="008A4E35" w:rsidRPr="003C4C9F" w:rsidRDefault="008A4E35" w:rsidP="008A4E35">
            <w:pPr>
              <w:rPr>
                <w:rFonts w:cs="Arial"/>
                <w:sz w:val="20"/>
                <w:szCs w:val="20"/>
              </w:rPr>
            </w:pPr>
            <w:r w:rsidRPr="003C4C9F">
              <w:rPr>
                <w:rFonts w:cs="Arial"/>
                <w:sz w:val="20"/>
                <w:szCs w:val="20"/>
              </w:rPr>
              <w:t>P=</w:t>
            </w:r>
            <w:r>
              <w:rPr>
                <w:rFonts w:cs="Arial"/>
                <w:sz w:val="20"/>
                <w:szCs w:val="20"/>
              </w:rPr>
              <w:t xml:space="preserve"> 3</w:t>
            </w:r>
          </w:p>
          <w:p w:rsidR="003B289F" w:rsidRPr="008A4E35" w:rsidRDefault="008A4E35" w:rsidP="008A4E35">
            <w:pPr>
              <w:rPr>
                <w:rFonts w:cs="Arial"/>
                <w:sz w:val="20"/>
                <w:szCs w:val="20"/>
              </w:rPr>
            </w:pPr>
            <w:r w:rsidRPr="003C4C9F">
              <w:rPr>
                <w:rFonts w:cs="Arial"/>
                <w:sz w:val="20"/>
                <w:szCs w:val="20"/>
              </w:rPr>
              <w:t>I=</w:t>
            </w:r>
            <w:r>
              <w:rPr>
                <w:rFonts w:cs="Arial"/>
                <w:sz w:val="20"/>
                <w:szCs w:val="20"/>
              </w:rPr>
              <w:t xml:space="preserve"> 3</w:t>
            </w:r>
          </w:p>
        </w:tc>
        <w:tc>
          <w:tcPr>
            <w:tcW w:w="2880" w:type="dxa"/>
          </w:tcPr>
          <w:p w:rsidR="003B289F" w:rsidRDefault="00B65DFB" w:rsidP="00825C24">
            <w:pPr>
              <w:rPr>
                <w:rFonts w:cs="Arial"/>
                <w:sz w:val="20"/>
                <w:szCs w:val="20"/>
              </w:rPr>
            </w:pPr>
            <w:r>
              <w:rPr>
                <w:rFonts w:cs="Arial"/>
                <w:sz w:val="20"/>
                <w:szCs w:val="20"/>
              </w:rPr>
              <w:t>Ensure project activities as identified are fully completed</w:t>
            </w:r>
            <w:r w:rsidR="008A4E35">
              <w:rPr>
                <w:rFonts w:cs="Arial"/>
                <w:sz w:val="20"/>
                <w:szCs w:val="20"/>
              </w:rPr>
              <w:t>,</w:t>
            </w:r>
            <w:r>
              <w:rPr>
                <w:rFonts w:cs="Arial"/>
                <w:sz w:val="20"/>
                <w:szCs w:val="20"/>
              </w:rPr>
              <w:t xml:space="preserve"> with evidence based results</w:t>
            </w:r>
            <w:r w:rsidR="008A4E35">
              <w:rPr>
                <w:rFonts w:cs="Arial"/>
                <w:sz w:val="20"/>
                <w:szCs w:val="20"/>
              </w:rPr>
              <w:t>,</w:t>
            </w:r>
            <w:r>
              <w:rPr>
                <w:rFonts w:cs="Arial"/>
                <w:sz w:val="20"/>
                <w:szCs w:val="20"/>
              </w:rPr>
              <w:t xml:space="preserve"> utilizing Phase 1 funding.</w:t>
            </w:r>
          </w:p>
          <w:p w:rsidR="00B65DFB" w:rsidRPr="004E000A" w:rsidRDefault="00B65DFB" w:rsidP="00825C24">
            <w:pPr>
              <w:rPr>
                <w:rFonts w:cs="Arial"/>
                <w:sz w:val="20"/>
                <w:szCs w:val="20"/>
              </w:rPr>
            </w:pPr>
            <w:r>
              <w:rPr>
                <w:rFonts w:cs="Arial"/>
                <w:sz w:val="20"/>
                <w:szCs w:val="20"/>
              </w:rPr>
              <w:t>Undertake resource mobilization and explore government cost sharing for a Phase 2</w:t>
            </w:r>
          </w:p>
        </w:tc>
        <w:tc>
          <w:tcPr>
            <w:tcW w:w="1980" w:type="dxa"/>
          </w:tcPr>
          <w:p w:rsidR="003B289F" w:rsidRPr="004E000A" w:rsidRDefault="00B65DFB" w:rsidP="00825C24">
            <w:pPr>
              <w:rPr>
                <w:rFonts w:cs="Arial"/>
                <w:sz w:val="20"/>
                <w:szCs w:val="20"/>
              </w:rPr>
            </w:pPr>
            <w:r>
              <w:rPr>
                <w:rFonts w:cs="Arial"/>
                <w:sz w:val="20"/>
                <w:szCs w:val="20"/>
              </w:rPr>
              <w:t>UNDP</w:t>
            </w:r>
          </w:p>
        </w:tc>
      </w:tr>
    </w:tbl>
    <w:p w:rsidR="00965591" w:rsidRDefault="00965591" w:rsidP="00965591"/>
    <w:p w:rsidR="00C175CC" w:rsidRDefault="00C175CC">
      <w:pPr>
        <w:rPr>
          <w:rFonts w:cs="Times New Roman"/>
          <w:sz w:val="24"/>
          <w:szCs w:val="24"/>
        </w:rPr>
      </w:pPr>
      <w:r>
        <w:rPr>
          <w:rFonts w:cs="Times New Roman"/>
          <w:sz w:val="24"/>
          <w:szCs w:val="24"/>
        </w:rPr>
        <w:br w:type="page"/>
      </w:r>
    </w:p>
    <w:p w:rsidR="00C175CC" w:rsidRPr="00D50045" w:rsidRDefault="00417CE3" w:rsidP="00C175CC">
      <w:pPr>
        <w:jc w:val="both"/>
        <w:rPr>
          <w:rFonts w:cs="Tahoma"/>
          <w:b/>
        </w:rPr>
      </w:pPr>
      <w:r>
        <w:rPr>
          <w:rFonts w:cs="Tahoma"/>
          <w:b/>
        </w:rPr>
        <w:t xml:space="preserve">Annex 3: </w:t>
      </w:r>
      <w:r w:rsidR="00C175CC" w:rsidRPr="00D50045">
        <w:rPr>
          <w:rFonts w:cs="Tahoma"/>
          <w:b/>
        </w:rPr>
        <w:t>Guiding Principles to Enhance Security Sector Governance in the Pacific Island Forum Countries</w:t>
      </w:r>
    </w:p>
    <w:p w:rsidR="00C175CC" w:rsidRPr="00D50045" w:rsidRDefault="00C175CC" w:rsidP="00C175CC">
      <w:pPr>
        <w:pStyle w:val="ListParagraph"/>
        <w:numPr>
          <w:ilvl w:val="0"/>
          <w:numId w:val="44"/>
        </w:numPr>
        <w:jc w:val="both"/>
        <w:rPr>
          <w:rFonts w:cs="Tahoma"/>
        </w:rPr>
      </w:pPr>
      <w:r w:rsidRPr="00D50045">
        <w:rPr>
          <w:rFonts w:cs="Tahoma"/>
        </w:rPr>
        <w:t>The provision of security is a core responsibility of government and provides a fundamental basis for the economic, social and political development of our nations.</w:t>
      </w:r>
    </w:p>
    <w:p w:rsidR="00C175CC" w:rsidRPr="00D50045" w:rsidRDefault="00C175CC" w:rsidP="00C175CC">
      <w:pPr>
        <w:pStyle w:val="ListParagraph"/>
        <w:numPr>
          <w:ilvl w:val="0"/>
          <w:numId w:val="44"/>
        </w:numPr>
        <w:jc w:val="both"/>
        <w:rPr>
          <w:rFonts w:cs="Tahoma"/>
        </w:rPr>
      </w:pPr>
      <w:r w:rsidRPr="00D50045">
        <w:rPr>
          <w:rFonts w:cs="Tahoma"/>
        </w:rPr>
        <w:t>Security policies in the pacific should accommodate and be consistent with each country’s history and long-standing Pacific values, including specific and differing cultural traditions and customary structures in each nation.</w:t>
      </w:r>
    </w:p>
    <w:p w:rsidR="00C175CC" w:rsidRPr="00D50045" w:rsidRDefault="00C175CC" w:rsidP="00C175CC">
      <w:pPr>
        <w:pStyle w:val="ListParagraph"/>
        <w:numPr>
          <w:ilvl w:val="0"/>
          <w:numId w:val="44"/>
        </w:numPr>
        <w:jc w:val="both"/>
        <w:rPr>
          <w:rFonts w:cs="Tahoma"/>
        </w:rPr>
      </w:pPr>
      <w:r w:rsidRPr="00D50045">
        <w:rPr>
          <w:rFonts w:cs="Tahoma"/>
        </w:rPr>
        <w:t>A central role of the security sector is to preserve our sovereignty and territorial integrity and uphold the rule of law, including through defending our constitutions, national laws and governance structures and safeguarding  the integrity of vital national institutions including the Head of State, executive, legislature and judiciary.</w:t>
      </w:r>
    </w:p>
    <w:p w:rsidR="00C175CC" w:rsidRPr="00D50045" w:rsidRDefault="00C175CC" w:rsidP="00C175CC">
      <w:pPr>
        <w:pStyle w:val="ListParagraph"/>
        <w:numPr>
          <w:ilvl w:val="0"/>
          <w:numId w:val="44"/>
        </w:numPr>
        <w:jc w:val="both"/>
        <w:rPr>
          <w:rFonts w:cs="Tahoma"/>
        </w:rPr>
      </w:pPr>
      <w:r w:rsidRPr="00D50045">
        <w:rPr>
          <w:rFonts w:cs="Tahoma"/>
        </w:rPr>
        <w:t>Given the inherent vulnerabilities of our nations, security personnel in the Pacific have a responsibility to support democratic traditions, defend human rights and protect, without prejudice, all citizens from harm.</w:t>
      </w:r>
    </w:p>
    <w:p w:rsidR="00C175CC" w:rsidRPr="00D50045" w:rsidRDefault="00C175CC" w:rsidP="00C175CC">
      <w:pPr>
        <w:pStyle w:val="ListParagraph"/>
        <w:numPr>
          <w:ilvl w:val="0"/>
          <w:numId w:val="44"/>
        </w:numPr>
        <w:jc w:val="both"/>
        <w:rPr>
          <w:rFonts w:cs="Tahoma"/>
        </w:rPr>
      </w:pPr>
      <w:r w:rsidRPr="00D50045">
        <w:rPr>
          <w:rFonts w:cs="Tahoma"/>
        </w:rPr>
        <w:t>Executive government is responsible for determining security policy. Central line ministries play a role in providing advice to Ministers on security policy (wherever possible, following public consultations with civil society organizations and the private sector), and coordinating the implementation of security policy by security institutions. Accountability to citizens should occur through media scrutiny, public consultation and debate, and regular elections.</w:t>
      </w:r>
    </w:p>
    <w:p w:rsidR="00C175CC" w:rsidRPr="00D50045" w:rsidRDefault="00C175CC" w:rsidP="00C175CC">
      <w:pPr>
        <w:pStyle w:val="ListParagraph"/>
        <w:numPr>
          <w:ilvl w:val="0"/>
          <w:numId w:val="44"/>
        </w:numPr>
        <w:jc w:val="both"/>
        <w:rPr>
          <w:rFonts w:cs="Tahoma"/>
        </w:rPr>
      </w:pPr>
      <w:r w:rsidRPr="00D50045">
        <w:rPr>
          <w:rFonts w:cs="Tahoma"/>
        </w:rPr>
        <w:t>The formulation of a national security policy is a useful mechanism to: (a) ensure a collective understanding of security needs, threats and challenges; (b) set national priorities that reflect each countries’ values; and (c) determine clear roles and responsibilities in the security sector and oversight mechanisms.</w:t>
      </w:r>
    </w:p>
    <w:p w:rsidR="00C175CC" w:rsidRPr="00D50045" w:rsidRDefault="00C175CC" w:rsidP="00C175CC">
      <w:pPr>
        <w:pStyle w:val="ListParagraph"/>
        <w:numPr>
          <w:ilvl w:val="0"/>
          <w:numId w:val="44"/>
        </w:numPr>
        <w:jc w:val="both"/>
        <w:rPr>
          <w:rFonts w:cs="Tahoma"/>
        </w:rPr>
      </w:pPr>
      <w:r w:rsidRPr="00D50045">
        <w:rPr>
          <w:rFonts w:cs="Tahoma"/>
        </w:rPr>
        <w:t>Effective parliamentary oversight of security institutions can assist in ensuring security services are accountable and effective in their activities including in the expenditure of public resources.</w:t>
      </w:r>
    </w:p>
    <w:p w:rsidR="00C175CC" w:rsidRPr="00D50045" w:rsidRDefault="00C175CC" w:rsidP="00C175CC">
      <w:pPr>
        <w:pStyle w:val="ListParagraph"/>
        <w:numPr>
          <w:ilvl w:val="0"/>
          <w:numId w:val="44"/>
        </w:numPr>
        <w:jc w:val="both"/>
        <w:rPr>
          <w:rFonts w:cs="Tahoma"/>
        </w:rPr>
      </w:pPr>
      <w:r w:rsidRPr="00D50045">
        <w:rPr>
          <w:rFonts w:cs="Tahoma"/>
        </w:rPr>
        <w:t>Independent courts and statutory bodies such as Ombudsman and Service Commissions ensure security institutions are accountable to, and compliant with the Constitution and national laws.</w:t>
      </w:r>
    </w:p>
    <w:p w:rsidR="00C175CC" w:rsidRPr="00D50045" w:rsidRDefault="00C175CC" w:rsidP="00C175CC">
      <w:pPr>
        <w:pStyle w:val="ListParagraph"/>
        <w:numPr>
          <w:ilvl w:val="0"/>
          <w:numId w:val="44"/>
        </w:numPr>
        <w:jc w:val="both"/>
        <w:rPr>
          <w:rFonts w:cs="Tahoma"/>
        </w:rPr>
      </w:pPr>
      <w:r w:rsidRPr="00D50045">
        <w:rPr>
          <w:rFonts w:cs="Tahoma"/>
        </w:rPr>
        <w:t>Public access to information mandated by law including financial, administrative and programme management arrangements promotes transparent policy making and practice among and within security institutions.</w:t>
      </w:r>
    </w:p>
    <w:p w:rsidR="00C175CC" w:rsidRPr="00D50045" w:rsidRDefault="00C175CC" w:rsidP="00C175CC">
      <w:pPr>
        <w:pStyle w:val="ListParagraph"/>
        <w:numPr>
          <w:ilvl w:val="0"/>
          <w:numId w:val="44"/>
        </w:numPr>
        <w:jc w:val="both"/>
        <w:rPr>
          <w:rFonts w:cs="Tahoma"/>
        </w:rPr>
      </w:pPr>
      <w:r w:rsidRPr="00D50045">
        <w:rPr>
          <w:rFonts w:cs="Tahoma"/>
        </w:rPr>
        <w:t>Close cooperation and effective dialogue between security institutions and other government organizations is vital to ensure security services remain responsive to the common needs of citizens.</w:t>
      </w:r>
    </w:p>
    <w:p w:rsidR="00C175CC" w:rsidRPr="00D50045" w:rsidRDefault="00C175CC" w:rsidP="00C175CC">
      <w:pPr>
        <w:pStyle w:val="ListParagraph"/>
        <w:numPr>
          <w:ilvl w:val="0"/>
          <w:numId w:val="44"/>
        </w:numPr>
        <w:jc w:val="both"/>
        <w:rPr>
          <w:rFonts w:cs="Tahoma"/>
        </w:rPr>
      </w:pPr>
      <w:r w:rsidRPr="00D50045">
        <w:rPr>
          <w:rFonts w:cs="Tahoma"/>
        </w:rPr>
        <w:t>Security services should recognize and be responsive to the different security needs of men and women by promoting gender equality and protecting vulnerable  sectors of the community</w:t>
      </w:r>
    </w:p>
    <w:p w:rsidR="00C175CC" w:rsidRPr="00D50045" w:rsidRDefault="00C175CC" w:rsidP="00C175CC">
      <w:pPr>
        <w:pStyle w:val="ListParagraph"/>
        <w:numPr>
          <w:ilvl w:val="0"/>
          <w:numId w:val="44"/>
        </w:numPr>
        <w:jc w:val="both"/>
        <w:rPr>
          <w:rFonts w:cs="Tahoma"/>
        </w:rPr>
      </w:pPr>
      <w:r w:rsidRPr="00D50045">
        <w:rPr>
          <w:rFonts w:cs="Tahoma"/>
        </w:rPr>
        <w:t>The active participation of the media and civil society in security affairs is important to ensure citizens are well informed of the roles and actions of security services.</w:t>
      </w:r>
    </w:p>
    <w:p w:rsidR="00C175CC" w:rsidRPr="00D50045" w:rsidRDefault="00C175CC" w:rsidP="00C175CC">
      <w:pPr>
        <w:pStyle w:val="ListParagraph"/>
        <w:numPr>
          <w:ilvl w:val="0"/>
          <w:numId w:val="44"/>
        </w:numPr>
        <w:jc w:val="both"/>
        <w:rPr>
          <w:rFonts w:cs="Tahoma"/>
        </w:rPr>
      </w:pPr>
      <w:r w:rsidRPr="00D50045">
        <w:rPr>
          <w:rFonts w:cs="Tahoma"/>
        </w:rPr>
        <w:t>Regional security is mutually beneficial for all Pacific nations and is enhanced by national security policies that recognize the importance of maintaining: a stable and secure region; and coordination and cooperation between our respective nations.</w:t>
      </w:r>
    </w:p>
    <w:p w:rsidR="00C175CC" w:rsidRPr="00D50045" w:rsidRDefault="00C175CC" w:rsidP="00C175CC">
      <w:pPr>
        <w:pStyle w:val="ListParagraph"/>
        <w:numPr>
          <w:ilvl w:val="0"/>
          <w:numId w:val="44"/>
        </w:numPr>
        <w:jc w:val="both"/>
        <w:rPr>
          <w:rFonts w:cs="Tahoma"/>
        </w:rPr>
      </w:pPr>
      <w:r w:rsidRPr="00D50045">
        <w:rPr>
          <w:rFonts w:cs="Tahoma"/>
        </w:rPr>
        <w:t>Legislative frameworks for security institutions are essential to ensure their accountability and transparency, to entrench the rule of law. Legislation should define the roles and responsibilities of security institutions, outline professional standards for security personnel, and d establish oversight mechanisms.</w:t>
      </w:r>
    </w:p>
    <w:p w:rsidR="00C175CC" w:rsidRPr="00D50045" w:rsidRDefault="00C175CC" w:rsidP="00C175CC">
      <w:pPr>
        <w:jc w:val="both"/>
      </w:pPr>
      <w:r w:rsidRPr="00D50045">
        <w:rPr>
          <w:rFonts w:cs="Tahoma"/>
        </w:rPr>
        <w:t xml:space="preserve">Security policies should seek to protect our communities their environment and surrounding oceans by seeking to prevent or mitigate the risks from threats such as climate change, sea level rise, natural disasters, and non-sustainable economic practices.                         </w:t>
      </w:r>
    </w:p>
    <w:p w:rsidR="00256B38" w:rsidRPr="00D50045" w:rsidRDefault="00256B38" w:rsidP="00F916CA">
      <w:pPr>
        <w:tabs>
          <w:tab w:val="left" w:pos="7159"/>
        </w:tabs>
        <w:spacing w:line="276" w:lineRule="auto"/>
        <w:jc w:val="both"/>
        <w:rPr>
          <w:rFonts w:cs="Times New Roman"/>
        </w:rPr>
      </w:pPr>
    </w:p>
    <w:sectPr w:rsidR="00256B38" w:rsidRPr="00D50045" w:rsidSect="00BB12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39" w:rsidRDefault="00D33439" w:rsidP="00FD321E">
      <w:pPr>
        <w:spacing w:after="0" w:line="240" w:lineRule="auto"/>
      </w:pPr>
      <w:r>
        <w:separator/>
      </w:r>
    </w:p>
  </w:endnote>
  <w:endnote w:type="continuationSeparator" w:id="0">
    <w:p w:rsidR="00D33439" w:rsidRDefault="00D33439" w:rsidP="00FD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26998"/>
      <w:docPartObj>
        <w:docPartGallery w:val="Page Numbers (Bottom of Page)"/>
        <w:docPartUnique/>
      </w:docPartObj>
    </w:sdtPr>
    <w:sdtEndPr>
      <w:rPr>
        <w:noProof/>
      </w:rPr>
    </w:sdtEndPr>
    <w:sdtContent>
      <w:p w:rsidR="005B6055" w:rsidRDefault="005B6055">
        <w:pPr>
          <w:pStyle w:val="Footer"/>
          <w:jc w:val="right"/>
        </w:pPr>
        <w:r>
          <w:fldChar w:fldCharType="begin"/>
        </w:r>
        <w:r>
          <w:instrText xml:space="preserve"> PAGE   \* MERGEFORMAT </w:instrText>
        </w:r>
        <w:r>
          <w:fldChar w:fldCharType="separate"/>
        </w:r>
        <w:r w:rsidR="002D5326">
          <w:rPr>
            <w:noProof/>
          </w:rPr>
          <w:t>30</w:t>
        </w:r>
        <w:r>
          <w:rPr>
            <w:noProof/>
          </w:rPr>
          <w:fldChar w:fldCharType="end"/>
        </w:r>
      </w:p>
    </w:sdtContent>
  </w:sdt>
  <w:p w:rsidR="005B6055" w:rsidRDefault="005B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39" w:rsidRDefault="00D33439" w:rsidP="00FD321E">
      <w:pPr>
        <w:spacing w:after="0" w:line="240" w:lineRule="auto"/>
      </w:pPr>
      <w:r>
        <w:separator/>
      </w:r>
    </w:p>
  </w:footnote>
  <w:footnote w:type="continuationSeparator" w:id="0">
    <w:p w:rsidR="00D33439" w:rsidRDefault="00D33439" w:rsidP="00FD3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EF3"/>
    <w:multiLevelType w:val="hybridMultilevel"/>
    <w:tmpl w:val="FB52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A0E6D"/>
    <w:multiLevelType w:val="hybridMultilevel"/>
    <w:tmpl w:val="1CA4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7300"/>
    <w:multiLevelType w:val="hybridMultilevel"/>
    <w:tmpl w:val="E88A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24BF4"/>
    <w:multiLevelType w:val="hybridMultilevel"/>
    <w:tmpl w:val="B09E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9437B"/>
    <w:multiLevelType w:val="multilevel"/>
    <w:tmpl w:val="301279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470FA8"/>
    <w:multiLevelType w:val="hybridMultilevel"/>
    <w:tmpl w:val="C01097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F4CD3"/>
    <w:multiLevelType w:val="hybridMultilevel"/>
    <w:tmpl w:val="0ED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60A0"/>
    <w:multiLevelType w:val="hybridMultilevel"/>
    <w:tmpl w:val="3412DE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94544"/>
    <w:multiLevelType w:val="hybridMultilevel"/>
    <w:tmpl w:val="1CA4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20B3D"/>
    <w:multiLevelType w:val="multilevel"/>
    <w:tmpl w:val="1C3ED98E"/>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BAE0937"/>
    <w:multiLevelType w:val="hybridMultilevel"/>
    <w:tmpl w:val="7B04C3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3622CE6"/>
    <w:multiLevelType w:val="hybridMultilevel"/>
    <w:tmpl w:val="55EA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4635"/>
    <w:multiLevelType w:val="hybridMultilevel"/>
    <w:tmpl w:val="23D880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C0B6F"/>
    <w:multiLevelType w:val="hybridMultilevel"/>
    <w:tmpl w:val="44A0239A"/>
    <w:lvl w:ilvl="0" w:tplc="2F649F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809DD"/>
    <w:multiLevelType w:val="hybridMultilevel"/>
    <w:tmpl w:val="15D60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A72FC"/>
    <w:multiLevelType w:val="hybridMultilevel"/>
    <w:tmpl w:val="74B0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E4689"/>
    <w:multiLevelType w:val="hybridMultilevel"/>
    <w:tmpl w:val="7200C5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1665A74"/>
    <w:multiLevelType w:val="multilevel"/>
    <w:tmpl w:val="CFF230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914D50"/>
    <w:multiLevelType w:val="multilevel"/>
    <w:tmpl w:val="BA26BDBA"/>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262ED4"/>
    <w:multiLevelType w:val="hybridMultilevel"/>
    <w:tmpl w:val="93F815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52679F"/>
    <w:multiLevelType w:val="hybridMultilevel"/>
    <w:tmpl w:val="2EFE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50C61"/>
    <w:multiLevelType w:val="multilevel"/>
    <w:tmpl w:val="A1D4C45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F777888"/>
    <w:multiLevelType w:val="hybridMultilevel"/>
    <w:tmpl w:val="987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16FE5"/>
    <w:multiLevelType w:val="hybridMultilevel"/>
    <w:tmpl w:val="ECA0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DB303D"/>
    <w:multiLevelType w:val="hybridMultilevel"/>
    <w:tmpl w:val="859C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76C88"/>
    <w:multiLevelType w:val="hybridMultilevel"/>
    <w:tmpl w:val="A78C1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C20A7"/>
    <w:multiLevelType w:val="hybridMultilevel"/>
    <w:tmpl w:val="B32E7B44"/>
    <w:lvl w:ilvl="0" w:tplc="EA42AB4A">
      <w:start w:val="1"/>
      <w:numFmt w:val="bullet"/>
      <w:lvlText w:val="-"/>
      <w:lvlJc w:val="left"/>
      <w:pPr>
        <w:ind w:left="1125" w:hanging="360"/>
      </w:pPr>
      <w:rPr>
        <w:rFonts w:ascii="Calibri" w:eastAsiaTheme="minorHAnsi" w:hAnsi="Calibri" w:cs="Tahoma"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43B07AAE"/>
    <w:multiLevelType w:val="hybridMultilevel"/>
    <w:tmpl w:val="373EC3B0"/>
    <w:lvl w:ilvl="0" w:tplc="DC36821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3133C9"/>
    <w:multiLevelType w:val="hybridMultilevel"/>
    <w:tmpl w:val="15D60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77208"/>
    <w:multiLevelType w:val="hybridMultilevel"/>
    <w:tmpl w:val="D436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B4DDF"/>
    <w:multiLevelType w:val="multilevel"/>
    <w:tmpl w:val="685E4B2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22114EB"/>
    <w:multiLevelType w:val="hybridMultilevel"/>
    <w:tmpl w:val="482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76241"/>
    <w:multiLevelType w:val="hybridMultilevel"/>
    <w:tmpl w:val="ED7A08DA"/>
    <w:lvl w:ilvl="0" w:tplc="ADB0CFC2">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57A5A"/>
    <w:multiLevelType w:val="hybridMultilevel"/>
    <w:tmpl w:val="7DF6E878"/>
    <w:lvl w:ilvl="0" w:tplc="C23E6C20">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9B956CB"/>
    <w:multiLevelType w:val="multilevel"/>
    <w:tmpl w:val="CC3A4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287A53"/>
    <w:multiLevelType w:val="hybridMultilevel"/>
    <w:tmpl w:val="4A5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D2C5D"/>
    <w:multiLevelType w:val="hybridMultilevel"/>
    <w:tmpl w:val="141E2E4C"/>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5823DE"/>
    <w:multiLevelType w:val="hybridMultilevel"/>
    <w:tmpl w:val="700A91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8" w15:restartNumberingAfterBreak="0">
    <w:nsid w:val="62910E27"/>
    <w:multiLevelType w:val="hybridMultilevel"/>
    <w:tmpl w:val="333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0C68"/>
    <w:multiLevelType w:val="hybridMultilevel"/>
    <w:tmpl w:val="5802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B43286"/>
    <w:multiLevelType w:val="multilevel"/>
    <w:tmpl w:val="B9D0E0E4"/>
    <w:lvl w:ilvl="0">
      <w:start w:val="1"/>
      <w:numFmt w:val="decimal"/>
      <w:lvlText w:val="%1."/>
      <w:lvlJc w:val="left"/>
      <w:pPr>
        <w:ind w:left="720" w:hanging="360"/>
      </w:pPr>
      <w:rPr>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0CA4268"/>
    <w:multiLevelType w:val="hybridMultilevel"/>
    <w:tmpl w:val="A3129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04328"/>
    <w:multiLevelType w:val="hybridMultilevel"/>
    <w:tmpl w:val="262A7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858EC"/>
    <w:multiLevelType w:val="multilevel"/>
    <w:tmpl w:val="9216BDE6"/>
    <w:lvl w:ilvl="0">
      <w:start w:val="2"/>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4"/>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C12EDA"/>
    <w:multiLevelType w:val="hybridMultilevel"/>
    <w:tmpl w:val="1CA4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1439F"/>
    <w:multiLevelType w:val="hybridMultilevel"/>
    <w:tmpl w:val="D33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30"/>
  </w:num>
  <w:num w:numId="4">
    <w:abstractNumId w:val="40"/>
  </w:num>
  <w:num w:numId="5">
    <w:abstractNumId w:val="28"/>
  </w:num>
  <w:num w:numId="6">
    <w:abstractNumId w:val="4"/>
  </w:num>
  <w:num w:numId="7">
    <w:abstractNumId w:val="9"/>
  </w:num>
  <w:num w:numId="8">
    <w:abstractNumId w:val="17"/>
  </w:num>
  <w:num w:numId="9">
    <w:abstractNumId w:val="22"/>
  </w:num>
  <w:num w:numId="10">
    <w:abstractNumId w:val="6"/>
  </w:num>
  <w:num w:numId="11">
    <w:abstractNumId w:val="35"/>
  </w:num>
  <w:num w:numId="12">
    <w:abstractNumId w:val="29"/>
  </w:num>
  <w:num w:numId="13">
    <w:abstractNumId w:val="37"/>
  </w:num>
  <w:num w:numId="14">
    <w:abstractNumId w:val="36"/>
  </w:num>
  <w:num w:numId="15">
    <w:abstractNumId w:val="34"/>
  </w:num>
  <w:num w:numId="16">
    <w:abstractNumId w:val="3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5"/>
  </w:num>
  <w:num w:numId="21">
    <w:abstractNumId w:val="7"/>
  </w:num>
  <w:num w:numId="22">
    <w:abstractNumId w:val="12"/>
  </w:num>
  <w:num w:numId="23">
    <w:abstractNumId w:val="41"/>
  </w:num>
  <w:num w:numId="24">
    <w:abstractNumId w:val="13"/>
  </w:num>
  <w:num w:numId="25">
    <w:abstractNumId w:val="42"/>
  </w:num>
  <w:num w:numId="26">
    <w:abstractNumId w:val="25"/>
  </w:num>
  <w:num w:numId="27">
    <w:abstractNumId w:val="14"/>
  </w:num>
  <w:num w:numId="28">
    <w:abstractNumId w:val="23"/>
  </w:num>
  <w:num w:numId="29">
    <w:abstractNumId w:val="10"/>
  </w:num>
  <w:num w:numId="30">
    <w:abstractNumId w:val="0"/>
  </w:num>
  <w:num w:numId="31">
    <w:abstractNumId w:val="43"/>
  </w:num>
  <w:num w:numId="32">
    <w:abstractNumId w:val="18"/>
  </w:num>
  <w:num w:numId="33">
    <w:abstractNumId w:val="44"/>
  </w:num>
  <w:num w:numId="34">
    <w:abstractNumId w:val="1"/>
  </w:num>
  <w:num w:numId="35">
    <w:abstractNumId w:val="8"/>
  </w:num>
  <w:num w:numId="36">
    <w:abstractNumId w:val="15"/>
  </w:num>
  <w:num w:numId="37">
    <w:abstractNumId w:val="2"/>
  </w:num>
  <w:num w:numId="38">
    <w:abstractNumId w:val="3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5"/>
  </w:num>
  <w:num w:numId="42">
    <w:abstractNumId w:val="31"/>
  </w:num>
  <w:num w:numId="43">
    <w:abstractNumId w:val="20"/>
  </w:num>
  <w:num w:numId="44">
    <w:abstractNumId w:val="24"/>
  </w:num>
  <w:num w:numId="45">
    <w:abstractNumId w:val="38"/>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1E"/>
    <w:rsid w:val="00002D30"/>
    <w:rsid w:val="00023A59"/>
    <w:rsid w:val="00030C97"/>
    <w:rsid w:val="00033EFA"/>
    <w:rsid w:val="00034FC8"/>
    <w:rsid w:val="00045CA0"/>
    <w:rsid w:val="00046048"/>
    <w:rsid w:val="00047918"/>
    <w:rsid w:val="00055CFC"/>
    <w:rsid w:val="000802DB"/>
    <w:rsid w:val="0008201D"/>
    <w:rsid w:val="000820C9"/>
    <w:rsid w:val="00082A72"/>
    <w:rsid w:val="00096570"/>
    <w:rsid w:val="000A1714"/>
    <w:rsid w:val="000B0887"/>
    <w:rsid w:val="000B121E"/>
    <w:rsid w:val="000B3261"/>
    <w:rsid w:val="000C6EF0"/>
    <w:rsid w:val="000D1C1B"/>
    <w:rsid w:val="0010557F"/>
    <w:rsid w:val="00110437"/>
    <w:rsid w:val="001135DF"/>
    <w:rsid w:val="00117C20"/>
    <w:rsid w:val="001201C7"/>
    <w:rsid w:val="00120D31"/>
    <w:rsid w:val="00125268"/>
    <w:rsid w:val="0012607A"/>
    <w:rsid w:val="0014006A"/>
    <w:rsid w:val="001407CF"/>
    <w:rsid w:val="001466D1"/>
    <w:rsid w:val="00147C72"/>
    <w:rsid w:val="00155FED"/>
    <w:rsid w:val="0015670D"/>
    <w:rsid w:val="00161934"/>
    <w:rsid w:val="00165CAF"/>
    <w:rsid w:val="001745B7"/>
    <w:rsid w:val="00174F3F"/>
    <w:rsid w:val="001764AC"/>
    <w:rsid w:val="00184F0A"/>
    <w:rsid w:val="00186587"/>
    <w:rsid w:val="00186759"/>
    <w:rsid w:val="00194238"/>
    <w:rsid w:val="00195F3E"/>
    <w:rsid w:val="00197095"/>
    <w:rsid w:val="001A012E"/>
    <w:rsid w:val="001A216C"/>
    <w:rsid w:val="001B3A6D"/>
    <w:rsid w:val="001B4A60"/>
    <w:rsid w:val="001C56A5"/>
    <w:rsid w:val="001C6882"/>
    <w:rsid w:val="001D0C8D"/>
    <w:rsid w:val="001D6457"/>
    <w:rsid w:val="001D6B7E"/>
    <w:rsid w:val="001E6654"/>
    <w:rsid w:val="001F13BE"/>
    <w:rsid w:val="001F1BC3"/>
    <w:rsid w:val="001F2DAA"/>
    <w:rsid w:val="001F484D"/>
    <w:rsid w:val="00202E4B"/>
    <w:rsid w:val="00210077"/>
    <w:rsid w:val="00210602"/>
    <w:rsid w:val="00213640"/>
    <w:rsid w:val="002153DC"/>
    <w:rsid w:val="00216329"/>
    <w:rsid w:val="002257AC"/>
    <w:rsid w:val="002261C3"/>
    <w:rsid w:val="00226C92"/>
    <w:rsid w:val="00230F85"/>
    <w:rsid w:val="00233225"/>
    <w:rsid w:val="00247446"/>
    <w:rsid w:val="00253B9D"/>
    <w:rsid w:val="00256B38"/>
    <w:rsid w:val="002578B5"/>
    <w:rsid w:val="0026549F"/>
    <w:rsid w:val="00266316"/>
    <w:rsid w:val="00266610"/>
    <w:rsid w:val="00266B9E"/>
    <w:rsid w:val="0027377F"/>
    <w:rsid w:val="0027677F"/>
    <w:rsid w:val="0028415C"/>
    <w:rsid w:val="002842B5"/>
    <w:rsid w:val="0028665E"/>
    <w:rsid w:val="00287321"/>
    <w:rsid w:val="002A350D"/>
    <w:rsid w:val="002A4F11"/>
    <w:rsid w:val="002B017D"/>
    <w:rsid w:val="002B1B55"/>
    <w:rsid w:val="002B32C9"/>
    <w:rsid w:val="002B5AAB"/>
    <w:rsid w:val="002B7199"/>
    <w:rsid w:val="002C0FCD"/>
    <w:rsid w:val="002D1CB0"/>
    <w:rsid w:val="002D447C"/>
    <w:rsid w:val="002D5326"/>
    <w:rsid w:val="002D5F1B"/>
    <w:rsid w:val="002E13F5"/>
    <w:rsid w:val="002E344D"/>
    <w:rsid w:val="002E516C"/>
    <w:rsid w:val="002E5278"/>
    <w:rsid w:val="002E6065"/>
    <w:rsid w:val="002F1170"/>
    <w:rsid w:val="002F37EC"/>
    <w:rsid w:val="00300251"/>
    <w:rsid w:val="00306589"/>
    <w:rsid w:val="003117D2"/>
    <w:rsid w:val="003132EC"/>
    <w:rsid w:val="003170B0"/>
    <w:rsid w:val="00317EBB"/>
    <w:rsid w:val="003213A7"/>
    <w:rsid w:val="00322136"/>
    <w:rsid w:val="0032378F"/>
    <w:rsid w:val="0033300E"/>
    <w:rsid w:val="0034419D"/>
    <w:rsid w:val="00345316"/>
    <w:rsid w:val="00346E2A"/>
    <w:rsid w:val="00352CFB"/>
    <w:rsid w:val="00353247"/>
    <w:rsid w:val="003532B2"/>
    <w:rsid w:val="00357C61"/>
    <w:rsid w:val="0037480B"/>
    <w:rsid w:val="0038516E"/>
    <w:rsid w:val="0038598A"/>
    <w:rsid w:val="00385A1E"/>
    <w:rsid w:val="00394D0B"/>
    <w:rsid w:val="00397A0F"/>
    <w:rsid w:val="003A300A"/>
    <w:rsid w:val="003B289F"/>
    <w:rsid w:val="003B4204"/>
    <w:rsid w:val="003B7D1A"/>
    <w:rsid w:val="003C3260"/>
    <w:rsid w:val="003C4C9F"/>
    <w:rsid w:val="003C538D"/>
    <w:rsid w:val="003E16DA"/>
    <w:rsid w:val="003E7ABD"/>
    <w:rsid w:val="003F2D57"/>
    <w:rsid w:val="003F3AEE"/>
    <w:rsid w:val="00407D4E"/>
    <w:rsid w:val="0041032F"/>
    <w:rsid w:val="00415351"/>
    <w:rsid w:val="00415607"/>
    <w:rsid w:val="00416C58"/>
    <w:rsid w:val="00417A0B"/>
    <w:rsid w:val="00417CE3"/>
    <w:rsid w:val="00424C50"/>
    <w:rsid w:val="00437986"/>
    <w:rsid w:val="004410E1"/>
    <w:rsid w:val="00446723"/>
    <w:rsid w:val="00460D28"/>
    <w:rsid w:val="004622BD"/>
    <w:rsid w:val="00462F1B"/>
    <w:rsid w:val="00471684"/>
    <w:rsid w:val="004807F9"/>
    <w:rsid w:val="0048190F"/>
    <w:rsid w:val="00484935"/>
    <w:rsid w:val="00486580"/>
    <w:rsid w:val="0049395C"/>
    <w:rsid w:val="00494C39"/>
    <w:rsid w:val="0049707F"/>
    <w:rsid w:val="004B2DD7"/>
    <w:rsid w:val="004B495A"/>
    <w:rsid w:val="004C00E0"/>
    <w:rsid w:val="004C1573"/>
    <w:rsid w:val="004C49DD"/>
    <w:rsid w:val="004D3D69"/>
    <w:rsid w:val="004E000A"/>
    <w:rsid w:val="004E18E5"/>
    <w:rsid w:val="004E299A"/>
    <w:rsid w:val="004E5928"/>
    <w:rsid w:val="004E7852"/>
    <w:rsid w:val="004F1CBB"/>
    <w:rsid w:val="004F29F8"/>
    <w:rsid w:val="004F51C7"/>
    <w:rsid w:val="004F5FDA"/>
    <w:rsid w:val="00506C1A"/>
    <w:rsid w:val="00507D19"/>
    <w:rsid w:val="005143FC"/>
    <w:rsid w:val="00517C56"/>
    <w:rsid w:val="005209CF"/>
    <w:rsid w:val="00520FF5"/>
    <w:rsid w:val="00524FCF"/>
    <w:rsid w:val="00525E0D"/>
    <w:rsid w:val="00527B12"/>
    <w:rsid w:val="005324AC"/>
    <w:rsid w:val="0053672B"/>
    <w:rsid w:val="00537308"/>
    <w:rsid w:val="00537600"/>
    <w:rsid w:val="005418EC"/>
    <w:rsid w:val="0054501E"/>
    <w:rsid w:val="00545962"/>
    <w:rsid w:val="005541CE"/>
    <w:rsid w:val="0056061E"/>
    <w:rsid w:val="00561887"/>
    <w:rsid w:val="00562297"/>
    <w:rsid w:val="005646DC"/>
    <w:rsid w:val="00567E8E"/>
    <w:rsid w:val="00574BE9"/>
    <w:rsid w:val="005779A3"/>
    <w:rsid w:val="00583CE4"/>
    <w:rsid w:val="00586505"/>
    <w:rsid w:val="0059169B"/>
    <w:rsid w:val="005A1707"/>
    <w:rsid w:val="005A40FE"/>
    <w:rsid w:val="005A6AC7"/>
    <w:rsid w:val="005B6055"/>
    <w:rsid w:val="005C5A13"/>
    <w:rsid w:val="005C67ED"/>
    <w:rsid w:val="005D06BF"/>
    <w:rsid w:val="005D3C3E"/>
    <w:rsid w:val="005E46A6"/>
    <w:rsid w:val="005E5FBF"/>
    <w:rsid w:val="005E6795"/>
    <w:rsid w:val="005F2CE2"/>
    <w:rsid w:val="005F7480"/>
    <w:rsid w:val="00607B82"/>
    <w:rsid w:val="00620679"/>
    <w:rsid w:val="00636C43"/>
    <w:rsid w:val="00644AAF"/>
    <w:rsid w:val="0064693A"/>
    <w:rsid w:val="00651913"/>
    <w:rsid w:val="00654C8F"/>
    <w:rsid w:val="00657348"/>
    <w:rsid w:val="00662777"/>
    <w:rsid w:val="00664C2D"/>
    <w:rsid w:val="00664D6D"/>
    <w:rsid w:val="00674572"/>
    <w:rsid w:val="00685676"/>
    <w:rsid w:val="00685DEE"/>
    <w:rsid w:val="006A660F"/>
    <w:rsid w:val="006B6BE2"/>
    <w:rsid w:val="006B6C68"/>
    <w:rsid w:val="006C0BB0"/>
    <w:rsid w:val="006C6BB9"/>
    <w:rsid w:val="006E382F"/>
    <w:rsid w:val="006E4408"/>
    <w:rsid w:val="006E572E"/>
    <w:rsid w:val="006F0B39"/>
    <w:rsid w:val="006F320A"/>
    <w:rsid w:val="006F7F27"/>
    <w:rsid w:val="007010A9"/>
    <w:rsid w:val="007067B7"/>
    <w:rsid w:val="0070732A"/>
    <w:rsid w:val="007075A3"/>
    <w:rsid w:val="007119E0"/>
    <w:rsid w:val="00721B4F"/>
    <w:rsid w:val="007242BB"/>
    <w:rsid w:val="0072474A"/>
    <w:rsid w:val="00725A63"/>
    <w:rsid w:val="007277A7"/>
    <w:rsid w:val="0073574E"/>
    <w:rsid w:val="0074071D"/>
    <w:rsid w:val="00741E20"/>
    <w:rsid w:val="00741FA5"/>
    <w:rsid w:val="00744C98"/>
    <w:rsid w:val="00745564"/>
    <w:rsid w:val="00772918"/>
    <w:rsid w:val="00773910"/>
    <w:rsid w:val="007761C4"/>
    <w:rsid w:val="00782FCA"/>
    <w:rsid w:val="0078511A"/>
    <w:rsid w:val="00787903"/>
    <w:rsid w:val="007907F1"/>
    <w:rsid w:val="007939A4"/>
    <w:rsid w:val="00797F0F"/>
    <w:rsid w:val="007A34E5"/>
    <w:rsid w:val="007A4DE9"/>
    <w:rsid w:val="007B3CA0"/>
    <w:rsid w:val="007B5D84"/>
    <w:rsid w:val="007B6EC3"/>
    <w:rsid w:val="007B79A3"/>
    <w:rsid w:val="007C0471"/>
    <w:rsid w:val="007C0CD8"/>
    <w:rsid w:val="007C0E8C"/>
    <w:rsid w:val="007C702B"/>
    <w:rsid w:val="007D1AFF"/>
    <w:rsid w:val="007D4C2E"/>
    <w:rsid w:val="007D7DD9"/>
    <w:rsid w:val="007E356F"/>
    <w:rsid w:val="007F17C2"/>
    <w:rsid w:val="0080017B"/>
    <w:rsid w:val="0080281A"/>
    <w:rsid w:val="008044AC"/>
    <w:rsid w:val="008075E9"/>
    <w:rsid w:val="00807F28"/>
    <w:rsid w:val="00810B70"/>
    <w:rsid w:val="00810CBB"/>
    <w:rsid w:val="0081208A"/>
    <w:rsid w:val="00814954"/>
    <w:rsid w:val="008203E0"/>
    <w:rsid w:val="00820DD7"/>
    <w:rsid w:val="00822073"/>
    <w:rsid w:val="00825992"/>
    <w:rsid w:val="00825C24"/>
    <w:rsid w:val="00826E09"/>
    <w:rsid w:val="008272E8"/>
    <w:rsid w:val="0083085E"/>
    <w:rsid w:val="008327FA"/>
    <w:rsid w:val="00832FE4"/>
    <w:rsid w:val="0083596E"/>
    <w:rsid w:val="00842B28"/>
    <w:rsid w:val="00843805"/>
    <w:rsid w:val="00844271"/>
    <w:rsid w:val="0085466F"/>
    <w:rsid w:val="008577CD"/>
    <w:rsid w:val="00860E5A"/>
    <w:rsid w:val="00861A89"/>
    <w:rsid w:val="00864673"/>
    <w:rsid w:val="00865DA6"/>
    <w:rsid w:val="00872906"/>
    <w:rsid w:val="00877231"/>
    <w:rsid w:val="0088062A"/>
    <w:rsid w:val="00880AE3"/>
    <w:rsid w:val="00882994"/>
    <w:rsid w:val="00884B6E"/>
    <w:rsid w:val="00887288"/>
    <w:rsid w:val="008905BA"/>
    <w:rsid w:val="00896146"/>
    <w:rsid w:val="0089733C"/>
    <w:rsid w:val="008A24C6"/>
    <w:rsid w:val="008A309F"/>
    <w:rsid w:val="008A4E35"/>
    <w:rsid w:val="008A5FC6"/>
    <w:rsid w:val="008A73BE"/>
    <w:rsid w:val="008B07ED"/>
    <w:rsid w:val="008B69D8"/>
    <w:rsid w:val="008C3ABE"/>
    <w:rsid w:val="008C6269"/>
    <w:rsid w:val="008C7FF5"/>
    <w:rsid w:val="008D360D"/>
    <w:rsid w:val="008D4247"/>
    <w:rsid w:val="008D5AF1"/>
    <w:rsid w:val="008E57A5"/>
    <w:rsid w:val="008F42D9"/>
    <w:rsid w:val="008F4AE6"/>
    <w:rsid w:val="008F4F01"/>
    <w:rsid w:val="008F6E79"/>
    <w:rsid w:val="00901A2A"/>
    <w:rsid w:val="0090383B"/>
    <w:rsid w:val="00910186"/>
    <w:rsid w:val="00912305"/>
    <w:rsid w:val="009127B1"/>
    <w:rsid w:val="0092053F"/>
    <w:rsid w:val="00920E02"/>
    <w:rsid w:val="00924FBD"/>
    <w:rsid w:val="00925776"/>
    <w:rsid w:val="009322BF"/>
    <w:rsid w:val="00935845"/>
    <w:rsid w:val="00936C94"/>
    <w:rsid w:val="009372B0"/>
    <w:rsid w:val="00941B45"/>
    <w:rsid w:val="00941B7A"/>
    <w:rsid w:val="00942C4E"/>
    <w:rsid w:val="00946E18"/>
    <w:rsid w:val="00963763"/>
    <w:rsid w:val="00965591"/>
    <w:rsid w:val="00973845"/>
    <w:rsid w:val="009756DB"/>
    <w:rsid w:val="00983C25"/>
    <w:rsid w:val="00984878"/>
    <w:rsid w:val="0098639D"/>
    <w:rsid w:val="00993E9C"/>
    <w:rsid w:val="00996E80"/>
    <w:rsid w:val="009A20C4"/>
    <w:rsid w:val="009A28F3"/>
    <w:rsid w:val="009A46AC"/>
    <w:rsid w:val="009A4F56"/>
    <w:rsid w:val="009B18EF"/>
    <w:rsid w:val="009B1F67"/>
    <w:rsid w:val="009B401C"/>
    <w:rsid w:val="009B64E3"/>
    <w:rsid w:val="009B725A"/>
    <w:rsid w:val="009B7D5D"/>
    <w:rsid w:val="009C1FDD"/>
    <w:rsid w:val="009C5DCB"/>
    <w:rsid w:val="009D79E2"/>
    <w:rsid w:val="009F45F5"/>
    <w:rsid w:val="00A003E6"/>
    <w:rsid w:val="00A133E8"/>
    <w:rsid w:val="00A13DDA"/>
    <w:rsid w:val="00A14679"/>
    <w:rsid w:val="00A148A8"/>
    <w:rsid w:val="00A234AD"/>
    <w:rsid w:val="00A327D1"/>
    <w:rsid w:val="00A32E2E"/>
    <w:rsid w:val="00A34803"/>
    <w:rsid w:val="00A34EAA"/>
    <w:rsid w:val="00A35489"/>
    <w:rsid w:val="00A3549A"/>
    <w:rsid w:val="00A36227"/>
    <w:rsid w:val="00A44013"/>
    <w:rsid w:val="00A472B7"/>
    <w:rsid w:val="00A507CF"/>
    <w:rsid w:val="00A534D7"/>
    <w:rsid w:val="00A544E1"/>
    <w:rsid w:val="00A65ACF"/>
    <w:rsid w:val="00A76E22"/>
    <w:rsid w:val="00A87CFF"/>
    <w:rsid w:val="00A92147"/>
    <w:rsid w:val="00AA110D"/>
    <w:rsid w:val="00AB3786"/>
    <w:rsid w:val="00AB41F7"/>
    <w:rsid w:val="00AC123E"/>
    <w:rsid w:val="00AC31F9"/>
    <w:rsid w:val="00AC33A0"/>
    <w:rsid w:val="00AC580D"/>
    <w:rsid w:val="00AC62C0"/>
    <w:rsid w:val="00AC67D1"/>
    <w:rsid w:val="00AC7A1E"/>
    <w:rsid w:val="00AE680E"/>
    <w:rsid w:val="00AF02AC"/>
    <w:rsid w:val="00AF2389"/>
    <w:rsid w:val="00AF5972"/>
    <w:rsid w:val="00AF74DE"/>
    <w:rsid w:val="00B01A12"/>
    <w:rsid w:val="00B12444"/>
    <w:rsid w:val="00B15E35"/>
    <w:rsid w:val="00B160DD"/>
    <w:rsid w:val="00B172DE"/>
    <w:rsid w:val="00B24744"/>
    <w:rsid w:val="00B2529D"/>
    <w:rsid w:val="00B328A5"/>
    <w:rsid w:val="00B42710"/>
    <w:rsid w:val="00B467EE"/>
    <w:rsid w:val="00B50079"/>
    <w:rsid w:val="00B5043D"/>
    <w:rsid w:val="00B50594"/>
    <w:rsid w:val="00B52539"/>
    <w:rsid w:val="00B5714F"/>
    <w:rsid w:val="00B61C04"/>
    <w:rsid w:val="00B63166"/>
    <w:rsid w:val="00B64A64"/>
    <w:rsid w:val="00B65DFB"/>
    <w:rsid w:val="00B73228"/>
    <w:rsid w:val="00B873D3"/>
    <w:rsid w:val="00B9501D"/>
    <w:rsid w:val="00BA3350"/>
    <w:rsid w:val="00BA4275"/>
    <w:rsid w:val="00BB0AFB"/>
    <w:rsid w:val="00BB12B0"/>
    <w:rsid w:val="00BB451C"/>
    <w:rsid w:val="00BB4C26"/>
    <w:rsid w:val="00BB633F"/>
    <w:rsid w:val="00BB7C9D"/>
    <w:rsid w:val="00BC7218"/>
    <w:rsid w:val="00BD4624"/>
    <w:rsid w:val="00BD57BF"/>
    <w:rsid w:val="00BE6475"/>
    <w:rsid w:val="00BF2E6E"/>
    <w:rsid w:val="00BF3501"/>
    <w:rsid w:val="00BF6056"/>
    <w:rsid w:val="00BF6AF3"/>
    <w:rsid w:val="00BF7DB5"/>
    <w:rsid w:val="00C00497"/>
    <w:rsid w:val="00C04777"/>
    <w:rsid w:val="00C141C1"/>
    <w:rsid w:val="00C15B9B"/>
    <w:rsid w:val="00C175B8"/>
    <w:rsid w:val="00C175CC"/>
    <w:rsid w:val="00C2279A"/>
    <w:rsid w:val="00C234CE"/>
    <w:rsid w:val="00C3003E"/>
    <w:rsid w:val="00C31AAB"/>
    <w:rsid w:val="00C33409"/>
    <w:rsid w:val="00C338E4"/>
    <w:rsid w:val="00C35501"/>
    <w:rsid w:val="00C36230"/>
    <w:rsid w:val="00C36E15"/>
    <w:rsid w:val="00C40BB0"/>
    <w:rsid w:val="00C411BF"/>
    <w:rsid w:val="00C41216"/>
    <w:rsid w:val="00C42685"/>
    <w:rsid w:val="00C559B7"/>
    <w:rsid w:val="00C626B8"/>
    <w:rsid w:val="00C6464E"/>
    <w:rsid w:val="00C70BAA"/>
    <w:rsid w:val="00C718F4"/>
    <w:rsid w:val="00C77251"/>
    <w:rsid w:val="00C864F0"/>
    <w:rsid w:val="00C87250"/>
    <w:rsid w:val="00C8761F"/>
    <w:rsid w:val="00C92F7D"/>
    <w:rsid w:val="00C94275"/>
    <w:rsid w:val="00C97692"/>
    <w:rsid w:val="00CA123B"/>
    <w:rsid w:val="00CA1757"/>
    <w:rsid w:val="00CA3660"/>
    <w:rsid w:val="00CA5845"/>
    <w:rsid w:val="00CB26B8"/>
    <w:rsid w:val="00CB6330"/>
    <w:rsid w:val="00CB6BE8"/>
    <w:rsid w:val="00CB7856"/>
    <w:rsid w:val="00CC2DB5"/>
    <w:rsid w:val="00CC5DDD"/>
    <w:rsid w:val="00CD525C"/>
    <w:rsid w:val="00CD63D9"/>
    <w:rsid w:val="00CE0B70"/>
    <w:rsid w:val="00CE3F68"/>
    <w:rsid w:val="00CE78DE"/>
    <w:rsid w:val="00CF6C62"/>
    <w:rsid w:val="00D00C3B"/>
    <w:rsid w:val="00D031EE"/>
    <w:rsid w:val="00D035EA"/>
    <w:rsid w:val="00D171B0"/>
    <w:rsid w:val="00D248A3"/>
    <w:rsid w:val="00D300C0"/>
    <w:rsid w:val="00D308B6"/>
    <w:rsid w:val="00D33439"/>
    <w:rsid w:val="00D425CF"/>
    <w:rsid w:val="00D50045"/>
    <w:rsid w:val="00D5008A"/>
    <w:rsid w:val="00D60927"/>
    <w:rsid w:val="00D676FB"/>
    <w:rsid w:val="00D67A32"/>
    <w:rsid w:val="00D742DA"/>
    <w:rsid w:val="00D74AE2"/>
    <w:rsid w:val="00D75C1F"/>
    <w:rsid w:val="00D86B4A"/>
    <w:rsid w:val="00D86FF1"/>
    <w:rsid w:val="00D900A8"/>
    <w:rsid w:val="00D948BA"/>
    <w:rsid w:val="00DB7CCC"/>
    <w:rsid w:val="00DB7E25"/>
    <w:rsid w:val="00DC3945"/>
    <w:rsid w:val="00DD36DD"/>
    <w:rsid w:val="00DD5216"/>
    <w:rsid w:val="00DD723F"/>
    <w:rsid w:val="00DE25E0"/>
    <w:rsid w:val="00DE5AE6"/>
    <w:rsid w:val="00DE6C47"/>
    <w:rsid w:val="00DE7F9F"/>
    <w:rsid w:val="00DF1D92"/>
    <w:rsid w:val="00E06398"/>
    <w:rsid w:val="00E10941"/>
    <w:rsid w:val="00E114C0"/>
    <w:rsid w:val="00E1202F"/>
    <w:rsid w:val="00E200FA"/>
    <w:rsid w:val="00E253BD"/>
    <w:rsid w:val="00E319C9"/>
    <w:rsid w:val="00E32181"/>
    <w:rsid w:val="00E40CE5"/>
    <w:rsid w:val="00E43B1F"/>
    <w:rsid w:val="00E45F76"/>
    <w:rsid w:val="00E52572"/>
    <w:rsid w:val="00E526DE"/>
    <w:rsid w:val="00E54BFE"/>
    <w:rsid w:val="00E6340D"/>
    <w:rsid w:val="00E6471F"/>
    <w:rsid w:val="00E66915"/>
    <w:rsid w:val="00E70C34"/>
    <w:rsid w:val="00E74BDE"/>
    <w:rsid w:val="00E76870"/>
    <w:rsid w:val="00E865F6"/>
    <w:rsid w:val="00E91FA7"/>
    <w:rsid w:val="00E96A7B"/>
    <w:rsid w:val="00EA0378"/>
    <w:rsid w:val="00EA05B6"/>
    <w:rsid w:val="00EA4D62"/>
    <w:rsid w:val="00EA55D7"/>
    <w:rsid w:val="00EA6C7B"/>
    <w:rsid w:val="00EB15BC"/>
    <w:rsid w:val="00EB7E36"/>
    <w:rsid w:val="00ED37FC"/>
    <w:rsid w:val="00EE26BC"/>
    <w:rsid w:val="00EE2B60"/>
    <w:rsid w:val="00EE5CC9"/>
    <w:rsid w:val="00EE6600"/>
    <w:rsid w:val="00EF3BDF"/>
    <w:rsid w:val="00F00BD4"/>
    <w:rsid w:val="00F023F9"/>
    <w:rsid w:val="00F110FC"/>
    <w:rsid w:val="00F13A81"/>
    <w:rsid w:val="00F22326"/>
    <w:rsid w:val="00F233B5"/>
    <w:rsid w:val="00F237FB"/>
    <w:rsid w:val="00F25AF1"/>
    <w:rsid w:val="00F27777"/>
    <w:rsid w:val="00F3364F"/>
    <w:rsid w:val="00F435FC"/>
    <w:rsid w:val="00F50BE9"/>
    <w:rsid w:val="00F52238"/>
    <w:rsid w:val="00F52CFC"/>
    <w:rsid w:val="00F64CA4"/>
    <w:rsid w:val="00F66105"/>
    <w:rsid w:val="00F70CE2"/>
    <w:rsid w:val="00F77F5F"/>
    <w:rsid w:val="00F80782"/>
    <w:rsid w:val="00F82351"/>
    <w:rsid w:val="00F82745"/>
    <w:rsid w:val="00F84093"/>
    <w:rsid w:val="00F911E6"/>
    <w:rsid w:val="00F916CA"/>
    <w:rsid w:val="00F93F3A"/>
    <w:rsid w:val="00FA0361"/>
    <w:rsid w:val="00FA04ED"/>
    <w:rsid w:val="00FA3693"/>
    <w:rsid w:val="00FA560E"/>
    <w:rsid w:val="00FA64F9"/>
    <w:rsid w:val="00FA661E"/>
    <w:rsid w:val="00FB1725"/>
    <w:rsid w:val="00FB41B3"/>
    <w:rsid w:val="00FC3770"/>
    <w:rsid w:val="00FC49E2"/>
    <w:rsid w:val="00FD168B"/>
    <w:rsid w:val="00FD321E"/>
    <w:rsid w:val="00FE3F1C"/>
    <w:rsid w:val="00FE50F3"/>
    <w:rsid w:val="00FE5791"/>
    <w:rsid w:val="00FE5E36"/>
    <w:rsid w:val="00FE62E8"/>
    <w:rsid w:val="00FF0800"/>
    <w:rsid w:val="00FF41E3"/>
    <w:rsid w:val="00FF4E76"/>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D66C2"/>
  <w15:docId w15:val="{63607727-5908-41EF-8033-FBEB5D1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FF"/>
  </w:style>
  <w:style w:type="paragraph" w:styleId="Heading1">
    <w:name w:val="heading 1"/>
    <w:basedOn w:val="Normal"/>
    <w:next w:val="Normal"/>
    <w:link w:val="Heading1Char"/>
    <w:uiPriority w:val="9"/>
    <w:qFormat/>
    <w:rsid w:val="00FD321E"/>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1E"/>
    <w:rPr>
      <w:rFonts w:asciiTheme="majorHAnsi" w:eastAsiaTheme="majorEastAsia" w:hAnsiTheme="majorHAnsi" w:cstheme="majorBidi"/>
      <w:color w:val="306785" w:themeColor="accent1" w:themeShade="BF"/>
      <w:sz w:val="32"/>
      <w:szCs w:val="32"/>
    </w:rPr>
  </w:style>
  <w:style w:type="paragraph" w:styleId="FootnoteText">
    <w:name w:val="footnote text"/>
    <w:aliases w:val="single space,Footnote Text Char Char,fn,FOOTNOTES,ADB,WB-Fußnotentext,Footnote,Fußnote,Geneva 9,Font: Geneva 9,Boston 10,f,12pt,12pt Знак,12pt Знак Знак Знак Знак Знак,12pt Знак Знак Знак Знак,Char"/>
    <w:basedOn w:val="Normal"/>
    <w:link w:val="FootnoteTextChar"/>
    <w:uiPriority w:val="99"/>
    <w:unhideWhenUsed/>
    <w:rsid w:val="00FD321E"/>
    <w:pPr>
      <w:spacing w:after="0" w:line="240" w:lineRule="auto"/>
    </w:pPr>
    <w:rPr>
      <w:sz w:val="20"/>
      <w:szCs w:val="20"/>
    </w:rPr>
  </w:style>
  <w:style w:type="character" w:customStyle="1" w:styleId="FootnoteTextChar">
    <w:name w:val="Footnote Text Char"/>
    <w:aliases w:val="single space Char,Footnote Text Char Char Char,fn Char,FOOTNOTES Char,ADB Char,WB-Fußnotentext Char,Footnote Char,Fußnote Char,Geneva 9 Char,Font: Geneva 9 Char,Boston 10 Char,f Char,12pt Char,12pt Знак Char,Char Char"/>
    <w:basedOn w:val="DefaultParagraphFont"/>
    <w:link w:val="FootnoteText"/>
    <w:uiPriority w:val="99"/>
    <w:rsid w:val="00FD321E"/>
    <w:rPr>
      <w:sz w:val="20"/>
      <w:szCs w:val="20"/>
    </w:rPr>
  </w:style>
  <w:style w:type="character" w:styleId="FootnoteReference">
    <w:name w:val="footnote reference"/>
    <w:basedOn w:val="DefaultParagraphFont"/>
    <w:uiPriority w:val="99"/>
    <w:semiHidden/>
    <w:unhideWhenUsed/>
    <w:rsid w:val="00FD321E"/>
    <w:rPr>
      <w:vertAlign w:val="superscript"/>
    </w:rPr>
  </w:style>
  <w:style w:type="table" w:styleId="TableGrid">
    <w:name w:val="Table Grid"/>
    <w:basedOn w:val="TableNormal"/>
    <w:uiPriority w:val="39"/>
    <w:rsid w:val="00FA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9F8"/>
    <w:pPr>
      <w:ind w:left="720"/>
      <w:contextualSpacing/>
    </w:pPr>
  </w:style>
  <w:style w:type="paragraph" w:styleId="Header">
    <w:name w:val="header"/>
    <w:basedOn w:val="Normal"/>
    <w:link w:val="HeaderChar"/>
    <w:uiPriority w:val="99"/>
    <w:unhideWhenUsed/>
    <w:rsid w:val="001F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BE"/>
  </w:style>
  <w:style w:type="paragraph" w:styleId="Footer">
    <w:name w:val="footer"/>
    <w:basedOn w:val="Normal"/>
    <w:link w:val="FooterChar"/>
    <w:uiPriority w:val="99"/>
    <w:unhideWhenUsed/>
    <w:rsid w:val="001F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BE"/>
  </w:style>
  <w:style w:type="character" w:styleId="Hyperlink">
    <w:name w:val="Hyperlink"/>
    <w:basedOn w:val="DefaultParagraphFont"/>
    <w:uiPriority w:val="99"/>
    <w:unhideWhenUsed/>
    <w:rsid w:val="00FF4E76"/>
    <w:rPr>
      <w:color w:val="F59E00" w:themeColor="hyperlink"/>
      <w:u w:val="single"/>
    </w:rPr>
  </w:style>
  <w:style w:type="paragraph" w:styleId="BalloonText">
    <w:name w:val="Balloon Text"/>
    <w:basedOn w:val="Normal"/>
    <w:link w:val="BalloonTextChar"/>
    <w:uiPriority w:val="99"/>
    <w:semiHidden/>
    <w:unhideWhenUsed/>
    <w:rsid w:val="002F3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EC"/>
    <w:rPr>
      <w:rFonts w:ascii="Segoe UI" w:hAnsi="Segoe UI" w:cs="Segoe UI"/>
      <w:sz w:val="18"/>
      <w:szCs w:val="18"/>
    </w:rPr>
  </w:style>
  <w:style w:type="paragraph" w:styleId="EndnoteText">
    <w:name w:val="endnote text"/>
    <w:basedOn w:val="Normal"/>
    <w:link w:val="EndnoteTextChar"/>
    <w:uiPriority w:val="99"/>
    <w:semiHidden/>
    <w:unhideWhenUsed/>
    <w:rsid w:val="00804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44AC"/>
    <w:rPr>
      <w:sz w:val="20"/>
      <w:szCs w:val="20"/>
    </w:rPr>
  </w:style>
  <w:style w:type="character" w:styleId="EndnoteReference">
    <w:name w:val="endnote reference"/>
    <w:basedOn w:val="DefaultParagraphFont"/>
    <w:uiPriority w:val="99"/>
    <w:semiHidden/>
    <w:unhideWhenUsed/>
    <w:rsid w:val="008044AC"/>
    <w:rPr>
      <w:vertAlign w:val="superscript"/>
    </w:rPr>
  </w:style>
  <w:style w:type="character" w:styleId="IntenseEmphasis">
    <w:name w:val="Intense Emphasis"/>
    <w:basedOn w:val="DefaultParagraphFont"/>
    <w:uiPriority w:val="21"/>
    <w:qFormat/>
    <w:rsid w:val="00B2529D"/>
    <w:rPr>
      <w:i/>
      <w:iCs/>
      <w:color w:val="418AB3" w:themeColor="accent1"/>
    </w:rPr>
  </w:style>
  <w:style w:type="paragraph" w:customStyle="1" w:styleId="Default">
    <w:name w:val="Default"/>
    <w:rsid w:val="00583CE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2F1170"/>
    <w:pPr>
      <w:spacing w:after="15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32FE4"/>
    <w:pPr>
      <w:spacing w:after="0" w:line="240" w:lineRule="auto"/>
    </w:pPr>
  </w:style>
  <w:style w:type="character" w:styleId="CommentReference">
    <w:name w:val="annotation reference"/>
    <w:basedOn w:val="DefaultParagraphFont"/>
    <w:uiPriority w:val="99"/>
    <w:semiHidden/>
    <w:unhideWhenUsed/>
    <w:rsid w:val="009322BF"/>
    <w:rPr>
      <w:sz w:val="16"/>
      <w:szCs w:val="16"/>
    </w:rPr>
  </w:style>
  <w:style w:type="paragraph" w:styleId="CommentText">
    <w:name w:val="annotation text"/>
    <w:basedOn w:val="Normal"/>
    <w:link w:val="CommentTextChar"/>
    <w:uiPriority w:val="99"/>
    <w:semiHidden/>
    <w:unhideWhenUsed/>
    <w:rsid w:val="009322BF"/>
    <w:pPr>
      <w:spacing w:line="240" w:lineRule="auto"/>
    </w:pPr>
    <w:rPr>
      <w:sz w:val="20"/>
      <w:szCs w:val="20"/>
    </w:rPr>
  </w:style>
  <w:style w:type="character" w:customStyle="1" w:styleId="CommentTextChar">
    <w:name w:val="Comment Text Char"/>
    <w:basedOn w:val="DefaultParagraphFont"/>
    <w:link w:val="CommentText"/>
    <w:uiPriority w:val="99"/>
    <w:semiHidden/>
    <w:rsid w:val="009322BF"/>
    <w:rPr>
      <w:sz w:val="20"/>
      <w:szCs w:val="20"/>
    </w:rPr>
  </w:style>
  <w:style w:type="paragraph" w:styleId="CommentSubject">
    <w:name w:val="annotation subject"/>
    <w:basedOn w:val="CommentText"/>
    <w:next w:val="CommentText"/>
    <w:link w:val="CommentSubjectChar"/>
    <w:uiPriority w:val="99"/>
    <w:semiHidden/>
    <w:unhideWhenUsed/>
    <w:rsid w:val="009322BF"/>
    <w:rPr>
      <w:b/>
      <w:bCs/>
    </w:rPr>
  </w:style>
  <w:style w:type="character" w:customStyle="1" w:styleId="CommentSubjectChar">
    <w:name w:val="Comment Subject Char"/>
    <w:basedOn w:val="CommentTextChar"/>
    <w:link w:val="CommentSubject"/>
    <w:uiPriority w:val="99"/>
    <w:semiHidden/>
    <w:rsid w:val="009322BF"/>
    <w:rPr>
      <w:b/>
      <w:bCs/>
      <w:sz w:val="20"/>
      <w:szCs w:val="20"/>
    </w:rPr>
  </w:style>
  <w:style w:type="paragraph" w:styleId="Revision">
    <w:name w:val="Revision"/>
    <w:hidden/>
    <w:uiPriority w:val="99"/>
    <w:semiHidden/>
    <w:rsid w:val="009322BF"/>
    <w:pPr>
      <w:spacing w:after="0" w:line="240" w:lineRule="auto"/>
    </w:pPr>
  </w:style>
  <w:style w:type="paragraph" w:styleId="Title">
    <w:name w:val="Title"/>
    <w:basedOn w:val="Normal"/>
    <w:next w:val="Normal"/>
    <w:link w:val="TitleChar"/>
    <w:uiPriority w:val="10"/>
    <w:qFormat/>
    <w:rsid w:val="00A234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4A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50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195">
      <w:bodyDiv w:val="1"/>
      <w:marLeft w:val="0"/>
      <w:marRight w:val="0"/>
      <w:marTop w:val="0"/>
      <w:marBottom w:val="0"/>
      <w:divBdr>
        <w:top w:val="none" w:sz="0" w:space="0" w:color="auto"/>
        <w:left w:val="none" w:sz="0" w:space="0" w:color="auto"/>
        <w:bottom w:val="none" w:sz="0" w:space="0" w:color="auto"/>
        <w:right w:val="none" w:sz="0" w:space="0" w:color="auto"/>
      </w:divBdr>
    </w:div>
    <w:div w:id="941105779">
      <w:bodyDiv w:val="1"/>
      <w:marLeft w:val="0"/>
      <w:marRight w:val="0"/>
      <w:marTop w:val="0"/>
      <w:marBottom w:val="0"/>
      <w:divBdr>
        <w:top w:val="none" w:sz="0" w:space="0" w:color="auto"/>
        <w:left w:val="none" w:sz="0" w:space="0" w:color="auto"/>
        <w:bottom w:val="none" w:sz="0" w:space="0" w:color="auto"/>
        <w:right w:val="none" w:sz="0" w:space="0" w:color="auto"/>
      </w:divBdr>
    </w:div>
    <w:div w:id="979309969">
      <w:bodyDiv w:val="1"/>
      <w:marLeft w:val="0"/>
      <w:marRight w:val="0"/>
      <w:marTop w:val="0"/>
      <w:marBottom w:val="0"/>
      <w:divBdr>
        <w:top w:val="none" w:sz="0" w:space="0" w:color="auto"/>
        <w:left w:val="none" w:sz="0" w:space="0" w:color="auto"/>
        <w:bottom w:val="none" w:sz="0" w:space="0" w:color="auto"/>
        <w:right w:val="none" w:sz="0" w:space="0" w:color="auto"/>
      </w:divBdr>
    </w:div>
    <w:div w:id="1300107784">
      <w:bodyDiv w:val="1"/>
      <w:marLeft w:val="0"/>
      <w:marRight w:val="0"/>
      <w:marTop w:val="0"/>
      <w:marBottom w:val="0"/>
      <w:divBdr>
        <w:top w:val="none" w:sz="0" w:space="0" w:color="auto"/>
        <w:left w:val="none" w:sz="0" w:space="0" w:color="auto"/>
        <w:bottom w:val="none" w:sz="0" w:space="0" w:color="auto"/>
        <w:right w:val="none" w:sz="0" w:space="0" w:color="auto"/>
      </w:divBdr>
    </w:div>
    <w:div w:id="1517377380">
      <w:bodyDiv w:val="1"/>
      <w:marLeft w:val="0"/>
      <w:marRight w:val="0"/>
      <w:marTop w:val="0"/>
      <w:marBottom w:val="0"/>
      <w:divBdr>
        <w:top w:val="none" w:sz="0" w:space="0" w:color="auto"/>
        <w:left w:val="none" w:sz="0" w:space="0" w:color="auto"/>
        <w:bottom w:val="none" w:sz="0" w:space="0" w:color="auto"/>
        <w:right w:val="none" w:sz="0" w:space="0" w:color="auto"/>
      </w:divBdr>
    </w:div>
    <w:div w:id="1995597508">
      <w:bodyDiv w:val="1"/>
      <w:marLeft w:val="0"/>
      <w:marRight w:val="0"/>
      <w:marTop w:val="0"/>
      <w:marBottom w:val="0"/>
      <w:divBdr>
        <w:top w:val="none" w:sz="0" w:space="0" w:color="auto"/>
        <w:left w:val="none" w:sz="0" w:space="0" w:color="auto"/>
        <w:bottom w:val="none" w:sz="0" w:space="0" w:color="auto"/>
        <w:right w:val="none" w:sz="0" w:space="0" w:color="auto"/>
      </w:divBdr>
      <w:divsChild>
        <w:div w:id="1394961338">
          <w:marLeft w:val="0"/>
          <w:marRight w:val="0"/>
          <w:marTop w:val="0"/>
          <w:marBottom w:val="0"/>
          <w:divBdr>
            <w:top w:val="none" w:sz="0" w:space="0" w:color="auto"/>
            <w:left w:val="none" w:sz="0" w:space="0" w:color="auto"/>
            <w:bottom w:val="none" w:sz="0" w:space="0" w:color="auto"/>
            <w:right w:val="none" w:sz="0" w:space="0" w:color="auto"/>
          </w:divBdr>
          <w:divsChild>
            <w:div w:id="1152873068">
              <w:marLeft w:val="0"/>
              <w:marRight w:val="0"/>
              <w:marTop w:val="0"/>
              <w:marBottom w:val="0"/>
              <w:divBdr>
                <w:top w:val="none" w:sz="0" w:space="0" w:color="auto"/>
                <w:left w:val="none" w:sz="0" w:space="0" w:color="auto"/>
                <w:bottom w:val="none" w:sz="0" w:space="0" w:color="auto"/>
                <w:right w:val="none" w:sz="0" w:space="0" w:color="auto"/>
              </w:divBdr>
              <w:divsChild>
                <w:div w:id="211885794">
                  <w:marLeft w:val="0"/>
                  <w:marRight w:val="0"/>
                  <w:marTop w:val="225"/>
                  <w:marBottom w:val="0"/>
                  <w:divBdr>
                    <w:top w:val="none" w:sz="0" w:space="0" w:color="auto"/>
                    <w:left w:val="none" w:sz="0" w:space="0" w:color="auto"/>
                    <w:bottom w:val="none" w:sz="0" w:space="0" w:color="auto"/>
                    <w:right w:val="none" w:sz="0" w:space="0" w:color="auto"/>
                  </w:divBdr>
                  <w:divsChild>
                    <w:div w:id="1209956371">
                      <w:marLeft w:val="0"/>
                      <w:marRight w:val="0"/>
                      <w:marTop w:val="0"/>
                      <w:marBottom w:val="0"/>
                      <w:divBdr>
                        <w:top w:val="none" w:sz="0" w:space="0" w:color="auto"/>
                        <w:left w:val="none" w:sz="0" w:space="0" w:color="auto"/>
                        <w:bottom w:val="none" w:sz="0" w:space="0" w:color="auto"/>
                        <w:right w:val="none" w:sz="0" w:space="0" w:color="auto"/>
                      </w:divBdr>
                      <w:divsChild>
                        <w:div w:id="1510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org/sc/committees/1267/aq_sanctions_list.shtml" TargetMode="External"/><Relationship Id="rId4" Type="http://schemas.openxmlformats.org/officeDocument/2006/relationships/settings" Target="settings.xml"/><Relationship Id="rId9" Type="http://schemas.openxmlformats.org/officeDocument/2006/relationships/hyperlink" Target="https://intranet.undp.org/global/documents/ppm/Supplemental.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2016-02-03T22:00:00+00:00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1590</Value>
      <Value>1</Value>
      <Value>763</Value>
    </TaxCatchAll>
    <c4e2ab2cc9354bbf9064eeb465a566ea xmlns="1ed4137b-41b2-488b-8250-6d369ec27664">
      <Terms xmlns="http://schemas.microsoft.com/office/infopath/2007/PartnerControls"/>
    </c4e2ab2cc9354bbf9064eeb465a566ea>
    <UndpProjectNo xmlns="1ed4137b-41b2-488b-8250-6d369ec27664">WIP</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_dlc_DocId xmlns="f1161f5b-24a3-4c2d-bc81-44cb9325e8ee">ATLASPDC-4-44622</_dlc_DocId>
    <_dlc_DocIdUrl xmlns="f1161f5b-24a3-4c2d-bc81-44cb9325e8ee">
      <Url>https://info.undp.org/docs/pdc/_layouts/DocIdRedir.aspx?ID=ATLASPDC-4-44622</Url>
      <Description>ATLASPDC-4-44622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070690B-07FD-4014-A43F-62D4C88EA902}"/>
</file>

<file path=customXml/itemProps2.xml><?xml version="1.0" encoding="utf-8"?>
<ds:datastoreItem xmlns:ds="http://schemas.openxmlformats.org/officeDocument/2006/customXml" ds:itemID="{8171DAC8-5E0C-41E7-AEEF-B74869235071}"/>
</file>

<file path=customXml/itemProps3.xml><?xml version="1.0" encoding="utf-8"?>
<ds:datastoreItem xmlns:ds="http://schemas.openxmlformats.org/officeDocument/2006/customXml" ds:itemID="{771D9DF8-CA4E-4966-8817-B19468E8ECDE}"/>
</file>

<file path=customXml/itemProps4.xml><?xml version="1.0" encoding="utf-8"?>
<ds:datastoreItem xmlns:ds="http://schemas.openxmlformats.org/officeDocument/2006/customXml" ds:itemID="{DA8D313F-44C6-4736-B7CA-44F251E6A116}"/>
</file>

<file path=customXml/itemProps5.xml><?xml version="1.0" encoding="utf-8"?>
<ds:datastoreItem xmlns:ds="http://schemas.openxmlformats.org/officeDocument/2006/customXml" ds:itemID="{3D3182E0-0B8A-41D6-A66B-FCA5857271A8}"/>
</file>

<file path=customXml/itemProps6.xml><?xml version="1.0" encoding="utf-8"?>
<ds:datastoreItem xmlns:ds="http://schemas.openxmlformats.org/officeDocument/2006/customXml" ds:itemID="{5B8386A6-CB91-4C36-962A-0D57B0D47451}"/>
</file>

<file path=docProps/app.xml><?xml version="1.0" encoding="utf-8"?>
<Properties xmlns="http://schemas.openxmlformats.org/officeDocument/2006/extended-properties" xmlns:vt="http://schemas.openxmlformats.org/officeDocument/2006/docPropsVTypes">
  <Template>Normal</Template>
  <TotalTime>61</TotalTime>
  <Pages>1</Pages>
  <Words>12167</Words>
  <Characters>69358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Bassie</dc:creator>
  <cp:lastModifiedBy>Christine Fowler</cp:lastModifiedBy>
  <cp:revision>13</cp:revision>
  <cp:lastPrinted>2016-01-28T00:01:00Z</cp:lastPrinted>
  <dcterms:created xsi:type="dcterms:W3CDTF">2016-01-28T04:29:00Z</dcterms:created>
  <dcterms:modified xsi:type="dcterms:W3CDTF">2016-01-28T05:47:00Z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1590;#PSC|0d1a34a3-4fe1-474e-93df-b2b0de7943aa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2ea9fb5a-d315-4e49-ab55-b56c1391ee64</vt:lpwstr>
  </property>
  <property fmtid="{D5CDD505-2E9C-101B-9397-08002B2CF9AE}" pid="18" name="URL">
    <vt:lpwstr/>
  </property>
  <property fmtid="{D5CDD505-2E9C-101B-9397-08002B2CF9AE}" pid="19" name="DocumentSetDescription">
    <vt:lpwstr/>
  </property>
</Properties>
</file>